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7388" w14:textId="77777777" w:rsidR="007B0433" w:rsidRDefault="007B0433" w:rsidP="007326CC">
      <w:pPr>
        <w:spacing w:after="60" w:line="257" w:lineRule="auto"/>
        <w:jc w:val="center"/>
        <w:rPr>
          <w:b/>
          <w:bCs/>
          <w:sz w:val="24"/>
          <w:szCs w:val="24"/>
        </w:rPr>
      </w:pPr>
    </w:p>
    <w:p w14:paraId="795C9751" w14:textId="45105288" w:rsidR="00957DB0" w:rsidRDefault="00957DB0" w:rsidP="00957DB0">
      <w:pPr>
        <w:jc w:val="center"/>
        <w:rPr>
          <w:b/>
          <w:bCs/>
          <w:sz w:val="24"/>
          <w:szCs w:val="24"/>
        </w:rPr>
      </w:pPr>
      <w:r>
        <w:rPr>
          <w:b/>
          <w:bCs/>
          <w:sz w:val="24"/>
          <w:szCs w:val="24"/>
        </w:rPr>
        <w:t xml:space="preserve">MODULO DI VALIDAZIONE </w:t>
      </w:r>
      <w:r w:rsidR="00707429" w:rsidRPr="04B09A05">
        <w:rPr>
          <w:b/>
          <w:bCs/>
          <w:sz w:val="24"/>
          <w:szCs w:val="24"/>
        </w:rPr>
        <w:t>SUPPORTO ESPERTO SEGRETERIA TECNICA PROGETTUALE E SUPPORTO TRASVERSALE</w:t>
      </w:r>
    </w:p>
    <w:p w14:paraId="702600E0" w14:textId="001FCBE1" w:rsidR="00957DB0" w:rsidRPr="005E323C" w:rsidRDefault="00957DB0" w:rsidP="71214308">
      <w:pPr>
        <w:pStyle w:val="Paragrafoelenco"/>
        <w:numPr>
          <w:ilvl w:val="0"/>
          <w:numId w:val="3"/>
        </w:numPr>
        <w:rPr>
          <w:i/>
          <w:iCs/>
          <w:sz w:val="20"/>
          <w:szCs w:val="20"/>
        </w:rPr>
      </w:pPr>
      <w:r w:rsidRPr="71214308">
        <w:rPr>
          <w:i/>
          <w:iCs/>
          <w:sz w:val="20"/>
          <w:szCs w:val="20"/>
        </w:rPr>
        <w:t>da compilare, salvare in pdf, firmare digitalmente, inviare alla Struttura Beneficiaria, a cura dell’Esperto</w:t>
      </w:r>
    </w:p>
    <w:p w14:paraId="7CFC745A" w14:textId="77777777" w:rsidR="00957DB0" w:rsidRPr="005E323C" w:rsidRDefault="00957DB0" w:rsidP="00957DB0">
      <w:pPr>
        <w:pStyle w:val="Paragrafoelenco"/>
        <w:numPr>
          <w:ilvl w:val="0"/>
          <w:numId w:val="3"/>
        </w:numPr>
        <w:rPr>
          <w:i/>
          <w:iCs/>
          <w:sz w:val="20"/>
          <w:szCs w:val="20"/>
        </w:rPr>
      </w:pPr>
      <w:r w:rsidRPr="005E323C">
        <w:rPr>
          <w:i/>
          <w:iCs/>
          <w:sz w:val="20"/>
          <w:szCs w:val="20"/>
        </w:rPr>
        <w:t>da firmare digitalmente per validazione, inviare all’Esperto a cura del</w:t>
      </w:r>
      <w:r w:rsidRPr="005E323C">
        <w:rPr>
          <w:i/>
          <w:iCs/>
        </w:rPr>
        <w:t xml:space="preserve"> </w:t>
      </w:r>
      <w:r w:rsidRPr="005E323C">
        <w:rPr>
          <w:rStyle w:val="Collegamentoipertestuale"/>
          <w:i/>
          <w:iCs/>
          <w:color w:val="auto"/>
          <w:sz w:val="20"/>
          <w:szCs w:val="20"/>
          <w:u w:val="none"/>
        </w:rPr>
        <w:t xml:space="preserve">dirigente della </w:t>
      </w:r>
      <w:r>
        <w:rPr>
          <w:rStyle w:val="Collegamentoipertestuale"/>
          <w:i/>
          <w:iCs/>
          <w:color w:val="auto"/>
          <w:sz w:val="20"/>
          <w:szCs w:val="20"/>
          <w:u w:val="none"/>
        </w:rPr>
        <w:t>Struttura</w:t>
      </w:r>
      <w:r w:rsidRPr="005E323C">
        <w:rPr>
          <w:rStyle w:val="Collegamentoipertestuale"/>
          <w:i/>
          <w:iCs/>
          <w:color w:val="auto"/>
          <w:sz w:val="20"/>
          <w:szCs w:val="20"/>
          <w:u w:val="none"/>
        </w:rPr>
        <w:t xml:space="preserve"> Beneficiaria del supporto</w:t>
      </w:r>
    </w:p>
    <w:p w14:paraId="20C282AC" w14:textId="77777777" w:rsidR="004F1E06" w:rsidRDefault="004F1E06" w:rsidP="00A34045">
      <w:pPr>
        <w:rPr>
          <w:b/>
          <w:bCs/>
          <w:sz w:val="20"/>
          <w:szCs w:val="20"/>
        </w:rPr>
      </w:pPr>
    </w:p>
    <w:p w14:paraId="65AC0A80" w14:textId="490F574B" w:rsidR="00707429" w:rsidRDefault="00707429" w:rsidP="00707429">
      <w:pPr>
        <w:rPr>
          <w:b/>
          <w:bCs/>
          <w:sz w:val="20"/>
          <w:szCs w:val="20"/>
        </w:rPr>
      </w:pPr>
      <w:r>
        <w:rPr>
          <w:b/>
          <w:bCs/>
          <w:sz w:val="20"/>
          <w:szCs w:val="20"/>
        </w:rPr>
        <w:t>STRUTTURA BENEFICIARIA DEL SUPPORTO DELL’ESPERTO</w:t>
      </w:r>
      <w:r w:rsidRPr="04B09A05">
        <w:rPr>
          <w:sz w:val="20"/>
          <w:szCs w:val="20"/>
        </w:rPr>
        <w:t xml:space="preserve"> </w:t>
      </w:r>
      <w:r>
        <w:br/>
      </w:r>
      <w:r w:rsidRPr="04B09A05">
        <w:rPr>
          <w:b/>
          <w:bCs/>
          <w:sz w:val="20"/>
          <w:szCs w:val="20"/>
        </w:rPr>
        <w:t>DIREZIONE GENERALE – AREA PROGRAMMAZIONE E MONITORAGGIO – UFFICIO RIFORME PNRR</w:t>
      </w:r>
    </w:p>
    <w:p w14:paraId="141BC0D2" w14:textId="3B33BB16" w:rsidR="00707429" w:rsidRDefault="00707429" w:rsidP="00707429">
      <w:pPr>
        <w:spacing w:after="0" w:line="240" w:lineRule="auto"/>
        <w:rPr>
          <w:b/>
          <w:bCs/>
          <w:sz w:val="20"/>
          <w:szCs w:val="20"/>
        </w:rPr>
      </w:pPr>
      <w:r w:rsidRPr="04B09A05">
        <w:rPr>
          <w:b/>
          <w:bCs/>
          <w:sz w:val="20"/>
          <w:szCs w:val="20"/>
        </w:rPr>
        <w:t xml:space="preserve">NOME, COGNOME, E-MAIL ISTITUZIONALE E N. TELEFONO DEL </w:t>
      </w:r>
      <w:r w:rsidRPr="04B09A05">
        <w:rPr>
          <w:b/>
          <w:bCs/>
          <w:sz w:val="20"/>
          <w:szCs w:val="20"/>
          <w:u w:val="single"/>
        </w:rPr>
        <w:t xml:space="preserve">DIRIGENTE </w:t>
      </w:r>
      <w:r>
        <w:rPr>
          <w:b/>
          <w:bCs/>
          <w:sz w:val="20"/>
          <w:szCs w:val="20"/>
          <w:u w:val="single"/>
        </w:rPr>
        <w:t>CHE VALIDA IL SUPPORTO DELL’ESPERTO</w:t>
      </w:r>
    </w:p>
    <w:p w14:paraId="07C0F67C" w14:textId="77777777" w:rsidR="00707429" w:rsidRDefault="00707429" w:rsidP="00707429">
      <w:pPr>
        <w:spacing w:after="0" w:line="240" w:lineRule="auto"/>
        <w:rPr>
          <w:b/>
          <w:bCs/>
          <w:sz w:val="20"/>
          <w:szCs w:val="20"/>
        </w:rPr>
      </w:pPr>
      <w:r w:rsidRPr="04B09A05">
        <w:rPr>
          <w:b/>
          <w:bCs/>
          <w:sz w:val="20"/>
          <w:szCs w:val="20"/>
        </w:rPr>
        <w:t xml:space="preserve">DOTT. EMANUELE FAIOLA, </w:t>
      </w:r>
      <w:hyperlink r:id="rId8">
        <w:r w:rsidRPr="04B09A05">
          <w:rPr>
            <w:b/>
            <w:bCs/>
            <w:sz w:val="20"/>
            <w:szCs w:val="20"/>
          </w:rPr>
          <w:t>efaiola@regione.lazio.it</w:t>
        </w:r>
      </w:hyperlink>
      <w:r w:rsidRPr="04B09A05">
        <w:rPr>
          <w:b/>
          <w:bCs/>
          <w:sz w:val="20"/>
          <w:szCs w:val="20"/>
        </w:rPr>
        <w:t>, 0651684805</w:t>
      </w:r>
    </w:p>
    <w:p w14:paraId="10BC9D62" w14:textId="77777777" w:rsidR="00707429" w:rsidRDefault="00707429" w:rsidP="00707429">
      <w:pPr>
        <w:spacing w:after="0" w:line="240" w:lineRule="auto"/>
        <w:rPr>
          <w:b/>
          <w:bCs/>
          <w:sz w:val="20"/>
          <w:szCs w:val="20"/>
        </w:rPr>
      </w:pPr>
    </w:p>
    <w:p w14:paraId="03740912" w14:textId="77777777" w:rsidR="00707429" w:rsidRPr="00EF1038" w:rsidRDefault="00707429" w:rsidP="00707429">
      <w:pPr>
        <w:rPr>
          <w:sz w:val="20"/>
          <w:szCs w:val="20"/>
        </w:rPr>
      </w:pPr>
      <w:r w:rsidRPr="00CA62DB">
        <w:rPr>
          <w:b/>
          <w:bCs/>
          <w:sz w:val="20"/>
          <w:szCs w:val="20"/>
        </w:rPr>
        <w:t xml:space="preserve">NOME E COGNOME ESPERTO </w:t>
      </w:r>
      <w:r w:rsidRPr="00CA62DB">
        <w:rPr>
          <w:b/>
          <w:bCs/>
          <w:sz w:val="20"/>
          <w:szCs w:val="20"/>
        </w:rPr>
        <w:br/>
      </w:r>
      <w:r w:rsidRPr="00EF1038">
        <w:rPr>
          <w:i/>
          <w:iCs/>
          <w:sz w:val="20"/>
          <w:szCs w:val="20"/>
        </w:rPr>
        <w:t>(es. Marco Verdi)</w:t>
      </w:r>
      <w:r>
        <w:rPr>
          <w:i/>
          <w:iCs/>
          <w:sz w:val="20"/>
          <w:szCs w:val="20"/>
        </w:rPr>
        <w:t>_________________________________________________________________________________</w:t>
      </w:r>
    </w:p>
    <w:p w14:paraId="1AA4A47A" w14:textId="2A468AE8" w:rsidR="00707429" w:rsidRPr="00D41537" w:rsidRDefault="00707429" w:rsidP="00707429">
      <w:pPr>
        <w:rPr>
          <w:i/>
          <w:iCs/>
          <w:sz w:val="20"/>
          <w:szCs w:val="20"/>
        </w:rPr>
      </w:pPr>
      <w:r w:rsidRPr="00D41537">
        <w:rPr>
          <w:b/>
          <w:bCs/>
          <w:sz w:val="20"/>
          <w:szCs w:val="20"/>
        </w:rPr>
        <w:t xml:space="preserve">PROFILO PROFESSIONALE </w:t>
      </w:r>
      <w:r w:rsidRPr="00D41537">
        <w:br/>
      </w:r>
      <w:r w:rsidRPr="00D41537">
        <w:rPr>
          <w:i/>
          <w:iCs/>
          <w:sz w:val="20"/>
          <w:szCs w:val="20"/>
        </w:rPr>
        <w:t>(es. Ingegnere gestionale junior) ___________________________________________________________________________________</w:t>
      </w:r>
    </w:p>
    <w:p w14:paraId="3946AF7E" w14:textId="138556DB" w:rsidR="00707429" w:rsidRPr="00D41537" w:rsidRDefault="00707429" w:rsidP="00707429">
      <w:pPr>
        <w:rPr>
          <w:i/>
          <w:iCs/>
          <w:sz w:val="20"/>
          <w:szCs w:val="20"/>
        </w:rPr>
      </w:pPr>
      <w:r w:rsidRPr="00D41537">
        <w:rPr>
          <w:b/>
          <w:bCs/>
          <w:sz w:val="20"/>
          <w:szCs w:val="20"/>
        </w:rPr>
        <w:t>SETTORE PROFESSIONALE</w:t>
      </w:r>
      <w:r w:rsidRPr="00D41537">
        <w:br/>
      </w:r>
      <w:r w:rsidRPr="00D41537">
        <w:rPr>
          <w:i/>
          <w:iCs/>
          <w:sz w:val="20"/>
          <w:szCs w:val="20"/>
        </w:rPr>
        <w:t>(es. Barrare con il segno X il settore professionale del profilo)</w:t>
      </w:r>
    </w:p>
    <w:p w14:paraId="3EB81787" w14:textId="77777777" w:rsidR="00B944BA" w:rsidRDefault="00B944BA" w:rsidP="00B944BA">
      <w:pPr>
        <w:spacing w:after="0" w:line="240" w:lineRule="auto"/>
        <w:jc w:val="both"/>
        <w:rPr>
          <w:rFonts w:cs="Calibri"/>
          <w:sz w:val="20"/>
          <w:szCs w:val="20"/>
        </w:rPr>
      </w:pPr>
      <w:r w:rsidRPr="23AACC57">
        <w:rPr>
          <w:rFonts w:ascii="Wingdings" w:eastAsia="Wingdings" w:hAnsi="Wingdings" w:cs="Wingdings"/>
        </w:rPr>
        <w:t>o</w:t>
      </w:r>
      <w:r w:rsidRPr="23AACC57">
        <w:rPr>
          <w:rFonts w:cs="Calibri"/>
        </w:rPr>
        <w:t xml:space="preserve"> </w:t>
      </w:r>
      <w:r w:rsidRPr="23AACC57">
        <w:rPr>
          <w:rFonts w:cs="Calibri"/>
          <w:sz w:val="20"/>
          <w:szCs w:val="20"/>
        </w:rPr>
        <w:t>Supporto trasversale per il potenziamento e presidio tecnico-metodologico</w:t>
      </w:r>
    </w:p>
    <w:p w14:paraId="376B7A99" w14:textId="77777777" w:rsidR="00B944BA" w:rsidRDefault="00B944BA" w:rsidP="00B944BA">
      <w:pPr>
        <w:spacing w:after="0" w:line="240" w:lineRule="auto"/>
        <w:jc w:val="both"/>
        <w:rPr>
          <w:rFonts w:cs="Calibri"/>
          <w:sz w:val="20"/>
          <w:szCs w:val="20"/>
        </w:rPr>
      </w:pPr>
      <w:r w:rsidRPr="23AACC57">
        <w:rPr>
          <w:rFonts w:ascii="Wingdings" w:eastAsia="Wingdings" w:hAnsi="Wingdings" w:cs="Wingdings"/>
        </w:rPr>
        <w:t>o</w:t>
      </w:r>
      <w:r w:rsidRPr="23AACC57">
        <w:rPr>
          <w:rFonts w:cs="Calibri"/>
        </w:rPr>
        <w:t xml:space="preserve"> </w:t>
      </w:r>
      <w:r w:rsidRPr="23AACC57">
        <w:rPr>
          <w:rFonts w:cs="Calibri"/>
          <w:sz w:val="20"/>
          <w:szCs w:val="20"/>
        </w:rPr>
        <w:t>Supporto trasversale per la mappatura e l'analisi dei procedimenti amministrativi oggetto di intervento, raccolta e formulazione di proposte di interventi di semplificazione e per l’attuazione del Piano Territoriale di Assistenza Tecnica</w:t>
      </w:r>
    </w:p>
    <w:p w14:paraId="314B1048" w14:textId="77777777" w:rsidR="00B944BA" w:rsidRDefault="00B944BA" w:rsidP="00B944BA">
      <w:pPr>
        <w:spacing w:after="0" w:line="240" w:lineRule="auto"/>
        <w:jc w:val="both"/>
        <w:rPr>
          <w:rFonts w:cs="Calibri"/>
          <w:sz w:val="20"/>
          <w:szCs w:val="20"/>
        </w:rPr>
      </w:pPr>
      <w:r w:rsidRPr="23AACC57">
        <w:rPr>
          <w:rFonts w:ascii="Wingdings" w:eastAsia="Wingdings" w:hAnsi="Wingdings" w:cs="Wingdings"/>
        </w:rPr>
        <w:t>o</w:t>
      </w:r>
      <w:r w:rsidRPr="23AACC57">
        <w:rPr>
          <w:rFonts w:cs="Calibri"/>
        </w:rPr>
        <w:t xml:space="preserve"> </w:t>
      </w:r>
      <w:r w:rsidRPr="23AACC57">
        <w:rPr>
          <w:rFonts w:cs="Calibri"/>
          <w:sz w:val="20"/>
          <w:szCs w:val="20"/>
        </w:rPr>
        <w:t>Supporto trasversale ai lavori della Cabina di Regia Progettuale</w:t>
      </w:r>
    </w:p>
    <w:p w14:paraId="5EE97249" w14:textId="77777777" w:rsidR="00707429" w:rsidRPr="00D41537" w:rsidRDefault="00707429" w:rsidP="00707429">
      <w:pPr>
        <w:jc w:val="both"/>
        <w:rPr>
          <w:b/>
          <w:bCs/>
          <w:sz w:val="20"/>
          <w:szCs w:val="20"/>
        </w:rPr>
      </w:pPr>
    </w:p>
    <w:p w14:paraId="3CD25481" w14:textId="12AAFF8E" w:rsidR="00707429" w:rsidRPr="00D41537" w:rsidRDefault="00707429" w:rsidP="00707429">
      <w:pPr>
        <w:jc w:val="both"/>
        <w:rPr>
          <w:sz w:val="20"/>
          <w:szCs w:val="20"/>
        </w:rPr>
      </w:pPr>
      <w:r w:rsidRPr="00D41537">
        <w:rPr>
          <w:b/>
          <w:bCs/>
          <w:sz w:val="20"/>
          <w:szCs w:val="20"/>
        </w:rPr>
        <w:t xml:space="preserve">DESCRIZIONE DELLE PROCEDURE COMPLESSE PER LE QUALI SI </w:t>
      </w:r>
      <w:r>
        <w:rPr>
          <w:b/>
          <w:bCs/>
          <w:sz w:val="20"/>
          <w:szCs w:val="20"/>
        </w:rPr>
        <w:t>È</w:t>
      </w:r>
      <w:r w:rsidRPr="00D41537">
        <w:rPr>
          <w:b/>
          <w:bCs/>
          <w:sz w:val="20"/>
          <w:szCs w:val="20"/>
        </w:rPr>
        <w:t xml:space="preserve"> </w:t>
      </w:r>
      <w:r>
        <w:rPr>
          <w:b/>
          <w:bCs/>
          <w:sz w:val="20"/>
          <w:szCs w:val="20"/>
        </w:rPr>
        <w:t>BENEFICIATO DEL</w:t>
      </w:r>
      <w:r w:rsidRPr="00D41537">
        <w:rPr>
          <w:b/>
          <w:bCs/>
          <w:sz w:val="20"/>
          <w:szCs w:val="20"/>
        </w:rPr>
        <w:t xml:space="preserve"> SUPPORTO DELL’ESPERTO</w:t>
      </w:r>
      <w:r w:rsidRPr="00D41537">
        <w:br/>
      </w:r>
      <w:r w:rsidRPr="00D41537">
        <w:rPr>
          <w:sz w:val="20"/>
          <w:szCs w:val="20"/>
        </w:rPr>
        <w:t>Procedure complesse, procedimenti, endoprocedimenti e processi trasversali ai settori individuati nel DPCM 12 novembre 2021, nel DM 29 agosto 2022 e nel Piano Territoriale di Assistenza Tecnica.</w:t>
      </w:r>
    </w:p>
    <w:p w14:paraId="435120A0" w14:textId="2610B358" w:rsidR="00A307CA" w:rsidRPr="00707429" w:rsidRDefault="00A307CA" w:rsidP="00A307CA">
      <w:pPr>
        <w:rPr>
          <w:b/>
          <w:bCs/>
          <w:sz w:val="20"/>
          <w:szCs w:val="20"/>
        </w:rPr>
      </w:pPr>
      <w:r w:rsidRPr="00707429">
        <w:rPr>
          <w:b/>
          <w:bCs/>
          <w:sz w:val="20"/>
          <w:szCs w:val="20"/>
        </w:rPr>
        <w:t>BIMESTRE 202</w:t>
      </w:r>
      <w:r w:rsidR="00CD5205">
        <w:rPr>
          <w:b/>
          <w:bCs/>
          <w:sz w:val="20"/>
          <w:szCs w:val="20"/>
        </w:rPr>
        <w:t>5</w:t>
      </w:r>
      <w:r w:rsidRPr="00707429">
        <w:rPr>
          <w:sz w:val="20"/>
          <w:szCs w:val="20"/>
        </w:rPr>
        <w:t xml:space="preserve">         </w:t>
      </w:r>
      <w:r w:rsidRPr="1314C9FC">
        <w:rPr>
          <w:rFonts w:ascii="Wingdings" w:eastAsia="Wingdings" w:hAnsi="Wingdings" w:cs="Wingdings"/>
          <w:sz w:val="20"/>
          <w:szCs w:val="20"/>
        </w:rPr>
        <w:t>o</w:t>
      </w:r>
      <w:r w:rsidRPr="00707429">
        <w:rPr>
          <w:sz w:val="20"/>
          <w:szCs w:val="20"/>
        </w:rPr>
        <w:t xml:space="preserve"> GEN-FEB   </w:t>
      </w:r>
      <w:r w:rsidRPr="1314C9FC">
        <w:rPr>
          <w:rFonts w:ascii="Wingdings" w:eastAsia="Wingdings" w:hAnsi="Wingdings" w:cs="Wingdings"/>
          <w:sz w:val="20"/>
          <w:szCs w:val="20"/>
        </w:rPr>
        <w:t>o</w:t>
      </w:r>
      <w:r w:rsidRPr="00707429">
        <w:rPr>
          <w:sz w:val="20"/>
          <w:szCs w:val="20"/>
        </w:rPr>
        <w:t xml:space="preserve"> MAR-APR     </w:t>
      </w:r>
      <w:r w:rsidRPr="1314C9FC">
        <w:rPr>
          <w:rFonts w:ascii="Wingdings" w:eastAsia="Wingdings" w:hAnsi="Wingdings" w:cs="Wingdings"/>
          <w:sz w:val="20"/>
          <w:szCs w:val="20"/>
        </w:rPr>
        <w:t>o</w:t>
      </w:r>
      <w:r w:rsidRPr="00707429">
        <w:rPr>
          <w:sz w:val="20"/>
          <w:szCs w:val="20"/>
        </w:rPr>
        <w:t xml:space="preserve"> MAG-GIU     </w:t>
      </w:r>
      <w:r w:rsidRPr="1314C9FC">
        <w:rPr>
          <w:rFonts w:ascii="Wingdings" w:eastAsia="Wingdings" w:hAnsi="Wingdings" w:cs="Wingdings"/>
          <w:sz w:val="20"/>
          <w:szCs w:val="20"/>
        </w:rPr>
        <w:t>o</w:t>
      </w:r>
      <w:r w:rsidRPr="00707429">
        <w:rPr>
          <w:sz w:val="20"/>
          <w:szCs w:val="20"/>
        </w:rPr>
        <w:t xml:space="preserve"> LUG-AGO     </w:t>
      </w:r>
      <w:r w:rsidRPr="1314C9FC">
        <w:rPr>
          <w:rFonts w:ascii="Wingdings" w:eastAsia="Wingdings" w:hAnsi="Wingdings" w:cs="Wingdings"/>
          <w:sz w:val="20"/>
          <w:szCs w:val="20"/>
        </w:rPr>
        <w:t>o</w:t>
      </w:r>
      <w:r w:rsidRPr="00707429">
        <w:rPr>
          <w:sz w:val="20"/>
          <w:szCs w:val="20"/>
        </w:rPr>
        <w:t xml:space="preserve"> SET-OTT     </w:t>
      </w:r>
      <w:r w:rsidRPr="1314C9FC">
        <w:rPr>
          <w:rFonts w:ascii="Wingdings" w:eastAsia="Wingdings" w:hAnsi="Wingdings" w:cs="Wingdings"/>
          <w:sz w:val="20"/>
          <w:szCs w:val="20"/>
        </w:rPr>
        <w:t>o</w:t>
      </w:r>
      <w:r w:rsidRPr="00707429">
        <w:rPr>
          <w:sz w:val="20"/>
          <w:szCs w:val="20"/>
        </w:rPr>
        <w:t xml:space="preserve"> NOV-DIC     </w:t>
      </w:r>
      <w:r w:rsidRPr="00707429">
        <w:br/>
      </w:r>
    </w:p>
    <w:p w14:paraId="1A5D7DDB" w14:textId="1D8FF27E" w:rsidR="00A307CA" w:rsidRDefault="00A307CA" w:rsidP="00A307CA">
      <w:pPr>
        <w:rPr>
          <w:i/>
          <w:iCs/>
          <w:sz w:val="20"/>
          <w:szCs w:val="20"/>
        </w:rPr>
      </w:pPr>
      <w:r w:rsidRPr="00217BBF">
        <w:rPr>
          <w:b/>
          <w:bCs/>
          <w:sz w:val="20"/>
          <w:szCs w:val="20"/>
        </w:rPr>
        <w:t xml:space="preserve">NUMERO DI GIORNATE-UOMO </w:t>
      </w:r>
      <w:r w:rsidR="00BF3167" w:rsidRPr="00217BBF">
        <w:rPr>
          <w:b/>
          <w:bCs/>
          <w:sz w:val="20"/>
          <w:szCs w:val="20"/>
        </w:rPr>
        <w:t>VALIDATE</w:t>
      </w:r>
      <w:r w:rsidRPr="00217BBF">
        <w:rPr>
          <w:b/>
          <w:bCs/>
          <w:sz w:val="20"/>
          <w:szCs w:val="20"/>
        </w:rPr>
        <w:t xml:space="preserve"> PER IL BIMESTRE </w:t>
      </w:r>
      <w:r>
        <w:rPr>
          <w:sz w:val="20"/>
          <w:szCs w:val="20"/>
        </w:rPr>
        <w:br/>
      </w:r>
      <w:r>
        <w:rPr>
          <w:i/>
          <w:iCs/>
          <w:sz w:val="20"/>
          <w:szCs w:val="20"/>
        </w:rPr>
        <w:t xml:space="preserve">(es. </w:t>
      </w:r>
      <w:r w:rsidR="00B944BA">
        <w:rPr>
          <w:i/>
          <w:iCs/>
          <w:sz w:val="20"/>
          <w:szCs w:val="20"/>
        </w:rPr>
        <w:t>26</w:t>
      </w:r>
      <w:r>
        <w:rPr>
          <w:i/>
          <w:iCs/>
          <w:sz w:val="20"/>
          <w:szCs w:val="20"/>
        </w:rPr>
        <w:t xml:space="preserve"> GIORNATE- UOMO) __________________________________________________________________________</w:t>
      </w:r>
    </w:p>
    <w:p w14:paraId="2CB650E5" w14:textId="77777777" w:rsidR="0040266C" w:rsidRDefault="0040266C" w:rsidP="00A307CA">
      <w:pPr>
        <w:rPr>
          <w:i/>
          <w:iCs/>
          <w:sz w:val="20"/>
          <w:szCs w:val="20"/>
        </w:rPr>
      </w:pPr>
    </w:p>
    <w:p w14:paraId="39B08860" w14:textId="194B54FF" w:rsidR="0040266C" w:rsidRDefault="0040266C" w:rsidP="0040266C">
      <w:pPr>
        <w:rPr>
          <w:sz w:val="20"/>
          <w:szCs w:val="20"/>
        </w:rPr>
      </w:pPr>
      <w:r>
        <w:rPr>
          <w:sz w:val="20"/>
          <w:szCs w:val="20"/>
        </w:rPr>
        <w:t xml:space="preserve">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46CA0BE" w14:textId="2960627A" w:rsidR="0040266C" w:rsidRDefault="0040266C" w:rsidP="0040266C">
      <w:pPr>
        <w:rPr>
          <w:sz w:val="20"/>
          <w:szCs w:val="20"/>
        </w:rPr>
      </w:pPr>
      <w:r w:rsidRPr="00CD5D3A">
        <w:rPr>
          <w:sz w:val="20"/>
          <w:szCs w:val="20"/>
        </w:rPr>
        <w:t>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74D91BA" w14:textId="7A08674A" w:rsidR="00217BBF" w:rsidRDefault="00217BBF" w:rsidP="007C620E">
      <w:pPr>
        <w:ind w:left="5664"/>
        <w:jc w:val="right"/>
        <w:rPr>
          <w:sz w:val="20"/>
          <w:szCs w:val="20"/>
        </w:rPr>
      </w:pPr>
      <w:r>
        <w:rPr>
          <w:sz w:val="20"/>
          <w:szCs w:val="20"/>
        </w:rPr>
        <w:t>FIRMA DIGITALE DELL’ESPERTO</w:t>
      </w:r>
    </w:p>
    <w:p w14:paraId="480A5172" w14:textId="77777777" w:rsidR="00784D48" w:rsidRDefault="0040266C" w:rsidP="0040266C">
      <w:pPr>
        <w:ind w:left="5664"/>
        <w:rPr>
          <w:sz w:val="20"/>
          <w:szCs w:val="20"/>
        </w:rPr>
      </w:pPr>
      <w:r>
        <w:rPr>
          <w:sz w:val="20"/>
          <w:szCs w:val="20"/>
        </w:rPr>
        <w:t xml:space="preserve">     </w:t>
      </w:r>
      <w:r w:rsidRPr="000721E6">
        <w:rPr>
          <w:sz w:val="20"/>
          <w:szCs w:val="20"/>
        </w:rPr>
        <w:t xml:space="preserve"> </w:t>
      </w:r>
    </w:p>
    <w:p w14:paraId="6DFF342D" w14:textId="77777777" w:rsidR="00CD5205" w:rsidRDefault="00CD5205" w:rsidP="0040266C">
      <w:pPr>
        <w:ind w:left="5664"/>
        <w:rPr>
          <w:sz w:val="20"/>
          <w:szCs w:val="20"/>
        </w:rPr>
      </w:pPr>
    </w:p>
    <w:p w14:paraId="165F7902" w14:textId="7E1007DB" w:rsidR="0040266C" w:rsidRDefault="0040266C" w:rsidP="00F2185B">
      <w:pPr>
        <w:ind w:left="5664"/>
        <w:jc w:val="right"/>
        <w:rPr>
          <w:sz w:val="20"/>
          <w:szCs w:val="20"/>
        </w:rPr>
      </w:pPr>
      <w:r>
        <w:rPr>
          <w:sz w:val="20"/>
          <w:szCs w:val="20"/>
        </w:rPr>
        <w:t>FIRMA DIGITALE DEL DIRIGENTE VALIDATORE</w:t>
      </w:r>
    </w:p>
    <w:p w14:paraId="577262B2" w14:textId="77777777" w:rsidR="00FA4474" w:rsidRDefault="00FA4474" w:rsidP="00F2185B">
      <w:pPr>
        <w:ind w:left="5664"/>
        <w:jc w:val="right"/>
        <w:rPr>
          <w:sz w:val="20"/>
          <w:szCs w:val="20"/>
        </w:rPr>
      </w:pPr>
    </w:p>
    <w:p w14:paraId="1426B34A" w14:textId="77777777" w:rsidR="00CD5205" w:rsidRDefault="00CD5205" w:rsidP="00F2185B">
      <w:pPr>
        <w:ind w:left="5664"/>
        <w:jc w:val="right"/>
        <w:rPr>
          <w:sz w:val="20"/>
          <w:szCs w:val="20"/>
        </w:rPr>
      </w:pPr>
    </w:p>
    <w:p w14:paraId="134C7FA6" w14:textId="77777777" w:rsidR="00163E21" w:rsidRPr="007A55DD" w:rsidRDefault="00163E21" w:rsidP="00163E21">
      <w:pPr>
        <w:spacing w:before="120" w:after="120"/>
        <w:jc w:val="both"/>
        <w:rPr>
          <w:sz w:val="20"/>
          <w:szCs w:val="20"/>
        </w:rPr>
      </w:pPr>
      <w:r>
        <w:rPr>
          <w:sz w:val="20"/>
          <w:szCs w:val="20"/>
        </w:rPr>
        <w:lastRenderedPageBreak/>
        <w:t xml:space="preserve">Si ricorda che </w:t>
      </w:r>
      <w:r w:rsidRPr="3DA96286">
        <w:rPr>
          <w:sz w:val="20"/>
          <w:szCs w:val="20"/>
        </w:rPr>
        <w:t xml:space="preserve">gli Esperti di cui all’iniziativa in epigrafe forniscono alla Regione Lazio ed agli EE.LL. del territorio regionale un supporto tecnico-operativo volto  a semplificare e reingegnerizzare le “procedure complesse” e/o relativi endoprocedimenti* secondo le previsioni di cui al DPCM 12 novembre 2021,  alla nota circolare n. 39994839 05/05/2022 del Dipartimento della funzione pubblica, al DM 29 agosto 2022, al Piano Territoriale di Assistenza Tecnica della Regione Lazio, ai contratti di lavoro autonomo** stipulati con gli Esperti ed alle indicazione operative approvate dalla Cabina di Regia Progettuale e riportate alla pagina web di progetto </w:t>
      </w:r>
      <w:hyperlink r:id="rId9">
        <w:r w:rsidRPr="3DA96286">
          <w:rPr>
            <w:rStyle w:val="Collegamentoipertestuale"/>
            <w:sz w:val="20"/>
            <w:szCs w:val="20"/>
          </w:rPr>
          <w:t>https://www.regione.lazio.it/enti/Piano-Territoriale-Assistenza-Tecnica</w:t>
        </w:r>
      </w:hyperlink>
      <w:r w:rsidRPr="3DA96286">
        <w:rPr>
          <w:sz w:val="20"/>
          <w:szCs w:val="20"/>
        </w:rPr>
        <w:t>. Nel dettaglio, il supporto tecnico-operativo è finalizzato alla riduzione della numerosità degli arretrati e dei tempi medi di conclusione delle “procedure complesse” rispetto ai dati di baseline, in coerenza con i risultati attesi di progetto, intermedi e finali, che prevedono la riduzione degli arretrati e dei tempi medi di ogni “procedura complessa” rilevata, misurata, inserita in baseline ed oggetto di supporto. Richiedente e beneficiario del supporto si impegnano inoltre a fornire all’Esperto, in coerenza con il “Format per il report di monitoraggio” e con quanto previsto dal DPCM 12 novembre 2021 e dal “Piano Territoriale di Assistenza Tecnica”, i dati inerenti alla numerosità degli arretrati ed ai tempi medi delle procedure complesse per i quali è richiesto il supporto dell’Esperto. Convenzionalmente, in ragione del supporto trasversale ed indiretto dispiegato, gli Esperti componenti la Segreteria Tecnica Progettuale (STP) ed il pool di Professionisti ed Esperti di supporto trasversale contribuiscono “pro-quota” ai risultati di Progetto determinati dal supporto verticale e diretto prestato Professionisti ed Esperti componenti le Task Force Multi-Disciplinari distribuite sul territorio regionale.</w:t>
      </w:r>
    </w:p>
    <w:p w14:paraId="7BCD0B08" w14:textId="7D8A325C" w:rsidR="00A307CA" w:rsidRDefault="00A307CA" w:rsidP="00A307CA">
      <w:pPr>
        <w:pStyle w:val="Testonotaapidipagina"/>
        <w:jc w:val="both"/>
      </w:pPr>
      <w:r>
        <w:t xml:space="preserve">* Si riporta a seguire la tabella delle “procedure complesse” previste dal </w:t>
      </w:r>
      <w:r w:rsidRPr="00173013">
        <w:t>DPCM 12 novembre 202</w:t>
      </w:r>
      <w:r w:rsidR="00F87CC5">
        <w:t>1</w:t>
      </w:r>
      <w:r>
        <w:t xml:space="preserve"> e dal</w:t>
      </w:r>
      <w:r w:rsidRPr="00173013">
        <w:t xml:space="preserve"> Piano Territoriale di Assistenza Tecnica della Regione Lazio</w:t>
      </w:r>
      <w:r>
        <w:t>.</w:t>
      </w:r>
    </w:p>
    <w:p w14:paraId="042D34F6" w14:textId="77777777" w:rsidR="00A307CA" w:rsidRDefault="00A307CA" w:rsidP="00A307CA">
      <w:pPr>
        <w:pStyle w:val="Testonotaapidipagin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6704"/>
      </w:tblGrid>
      <w:tr w:rsidR="00FA4474" w:rsidRPr="00D41537" w14:paraId="5A33D7A1" w14:textId="77777777" w:rsidTr="00CD5205">
        <w:trPr>
          <w:trHeight w:val="450"/>
        </w:trPr>
        <w:tc>
          <w:tcPr>
            <w:tcW w:w="3030" w:type="dxa"/>
            <w:tcMar>
              <w:left w:w="70" w:type="dxa"/>
              <w:right w:w="70" w:type="dxa"/>
            </w:tcMar>
            <w:vAlign w:val="center"/>
          </w:tcPr>
          <w:p w14:paraId="6D4732AB" w14:textId="77777777" w:rsidR="00FA4474" w:rsidRPr="00D41537" w:rsidRDefault="00FA4474" w:rsidP="00E36819">
            <w:pPr>
              <w:spacing w:after="0"/>
              <w:jc w:val="center"/>
              <w:rPr>
                <w:rFonts w:asciiTheme="minorHAnsi" w:eastAsiaTheme="minorEastAsia" w:hAnsiTheme="minorHAnsi" w:cstheme="minorBidi"/>
                <w:color w:val="000000" w:themeColor="text1"/>
                <w:sz w:val="20"/>
                <w:szCs w:val="20"/>
              </w:rPr>
            </w:pPr>
            <w:r w:rsidRPr="00D41537">
              <w:rPr>
                <w:rFonts w:asciiTheme="minorHAnsi" w:eastAsiaTheme="minorEastAsia" w:hAnsiTheme="minorHAnsi" w:cstheme="minorBidi"/>
                <w:b/>
                <w:bCs/>
                <w:color w:val="000000" w:themeColor="text1"/>
                <w:sz w:val="20"/>
                <w:szCs w:val="20"/>
              </w:rPr>
              <w:t>Ambito / Settore</w:t>
            </w:r>
            <w:r w:rsidRPr="00D41537">
              <w:rPr>
                <w:rFonts w:asciiTheme="minorHAnsi" w:eastAsiaTheme="minorEastAsia" w:hAnsiTheme="minorHAnsi" w:cstheme="minorBidi"/>
                <w:color w:val="000000" w:themeColor="text1"/>
                <w:sz w:val="20"/>
                <w:szCs w:val="20"/>
              </w:rPr>
              <w:t xml:space="preserve"> </w:t>
            </w:r>
          </w:p>
        </w:tc>
        <w:tc>
          <w:tcPr>
            <w:tcW w:w="6704" w:type="dxa"/>
            <w:tcMar>
              <w:left w:w="70" w:type="dxa"/>
              <w:right w:w="70" w:type="dxa"/>
            </w:tcMar>
            <w:vAlign w:val="center"/>
          </w:tcPr>
          <w:p w14:paraId="5F6FAC5A" w14:textId="77777777" w:rsidR="00FA4474" w:rsidRPr="00D41537" w:rsidRDefault="00FA4474" w:rsidP="00E36819">
            <w:pPr>
              <w:spacing w:after="0"/>
              <w:jc w:val="center"/>
              <w:rPr>
                <w:rFonts w:asciiTheme="minorHAnsi" w:eastAsiaTheme="minorEastAsia" w:hAnsiTheme="minorHAnsi" w:cstheme="minorBidi"/>
                <w:b/>
                <w:bCs/>
                <w:color w:val="000000" w:themeColor="text1"/>
                <w:sz w:val="20"/>
                <w:szCs w:val="20"/>
              </w:rPr>
            </w:pPr>
            <w:r w:rsidRPr="00D41537">
              <w:rPr>
                <w:rFonts w:asciiTheme="minorHAnsi" w:eastAsiaTheme="minorEastAsia" w:hAnsiTheme="minorHAnsi" w:cstheme="minorBidi"/>
                <w:b/>
                <w:bCs/>
                <w:color w:val="000000" w:themeColor="text1"/>
                <w:sz w:val="20"/>
                <w:szCs w:val="20"/>
              </w:rPr>
              <w:t>Procedura Complessa</w:t>
            </w:r>
          </w:p>
        </w:tc>
      </w:tr>
      <w:tr w:rsidR="00FA4474" w:rsidRPr="00D41537" w14:paraId="68DBAE10" w14:textId="77777777" w:rsidTr="00CD5205">
        <w:trPr>
          <w:trHeight w:val="420"/>
        </w:trPr>
        <w:tc>
          <w:tcPr>
            <w:tcW w:w="3030" w:type="dxa"/>
            <w:vMerge w:val="restart"/>
            <w:tcMar>
              <w:left w:w="70" w:type="dxa"/>
              <w:right w:w="70" w:type="dxa"/>
            </w:tcMar>
            <w:vAlign w:val="center"/>
          </w:tcPr>
          <w:p w14:paraId="11E41AA6"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Appalti</w:t>
            </w:r>
          </w:p>
        </w:tc>
        <w:tc>
          <w:tcPr>
            <w:tcW w:w="6704" w:type="dxa"/>
            <w:tcMar>
              <w:left w:w="70" w:type="dxa"/>
              <w:right w:w="70" w:type="dxa"/>
            </w:tcMar>
            <w:vAlign w:val="center"/>
          </w:tcPr>
          <w:p w14:paraId="76DF2001"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Acquisti di forniture e servizi</w:t>
            </w:r>
          </w:p>
        </w:tc>
      </w:tr>
      <w:tr w:rsidR="00FA4474" w:rsidRPr="00D41537" w14:paraId="54A1F220" w14:textId="77777777" w:rsidTr="00CD5205">
        <w:trPr>
          <w:trHeight w:val="420"/>
        </w:trPr>
        <w:tc>
          <w:tcPr>
            <w:tcW w:w="3030" w:type="dxa"/>
            <w:vMerge/>
            <w:vAlign w:val="center"/>
          </w:tcPr>
          <w:p w14:paraId="4EB184A3" w14:textId="77777777" w:rsidR="00FA4474" w:rsidRPr="00D41537" w:rsidRDefault="00FA4474" w:rsidP="00E36819"/>
        </w:tc>
        <w:tc>
          <w:tcPr>
            <w:tcW w:w="6704" w:type="dxa"/>
            <w:tcMar>
              <w:left w:w="70" w:type="dxa"/>
              <w:right w:w="70" w:type="dxa"/>
            </w:tcMar>
            <w:vAlign w:val="center"/>
          </w:tcPr>
          <w:p w14:paraId="0B3A3F7A"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Progettazione, affidamento ed esecuzione lavori</w:t>
            </w:r>
          </w:p>
        </w:tc>
      </w:tr>
      <w:tr w:rsidR="00FA4474" w:rsidRPr="00D41537" w14:paraId="7872C9E5" w14:textId="77777777" w:rsidTr="00CD5205">
        <w:trPr>
          <w:trHeight w:val="465"/>
        </w:trPr>
        <w:tc>
          <w:tcPr>
            <w:tcW w:w="3030" w:type="dxa"/>
            <w:vMerge/>
            <w:vAlign w:val="center"/>
          </w:tcPr>
          <w:p w14:paraId="63D2A86A" w14:textId="77777777" w:rsidR="00FA4474" w:rsidRPr="00D41537" w:rsidRDefault="00FA4474" w:rsidP="00E36819"/>
        </w:tc>
        <w:tc>
          <w:tcPr>
            <w:tcW w:w="6704" w:type="dxa"/>
            <w:tcMar>
              <w:left w:w="70" w:type="dxa"/>
              <w:right w:w="70" w:type="dxa"/>
            </w:tcMar>
            <w:vAlign w:val="center"/>
          </w:tcPr>
          <w:p w14:paraId="2393CED7"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FA4474" w:rsidRPr="00D41537" w14:paraId="4F9011E3" w14:textId="77777777" w:rsidTr="00CD5205">
        <w:trPr>
          <w:trHeight w:val="555"/>
        </w:trPr>
        <w:tc>
          <w:tcPr>
            <w:tcW w:w="3030" w:type="dxa"/>
            <w:vMerge w:val="restart"/>
            <w:tcMar>
              <w:left w:w="70" w:type="dxa"/>
              <w:right w:w="70" w:type="dxa"/>
            </w:tcMar>
            <w:vAlign w:val="center"/>
          </w:tcPr>
          <w:p w14:paraId="66B85472"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Bonifiche</w:t>
            </w:r>
          </w:p>
        </w:tc>
        <w:tc>
          <w:tcPr>
            <w:tcW w:w="6704" w:type="dxa"/>
            <w:tcMar>
              <w:left w:w="70" w:type="dxa"/>
              <w:right w:w="70" w:type="dxa"/>
            </w:tcMar>
            <w:vAlign w:val="center"/>
          </w:tcPr>
          <w:p w14:paraId="488C75CD"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Approvazione e autorizzazione progetti di bonifica di siti contaminati o di messa in sicurezza</w:t>
            </w:r>
          </w:p>
        </w:tc>
      </w:tr>
      <w:tr w:rsidR="00FA4474" w:rsidRPr="00D41537" w14:paraId="5F5A284F" w14:textId="77777777" w:rsidTr="00CD5205">
        <w:trPr>
          <w:trHeight w:val="405"/>
        </w:trPr>
        <w:tc>
          <w:tcPr>
            <w:tcW w:w="3030" w:type="dxa"/>
            <w:vMerge/>
            <w:vAlign w:val="center"/>
          </w:tcPr>
          <w:p w14:paraId="650B1831" w14:textId="77777777" w:rsidR="00FA4474" w:rsidRPr="00D41537" w:rsidRDefault="00FA4474" w:rsidP="00E36819"/>
        </w:tc>
        <w:tc>
          <w:tcPr>
            <w:tcW w:w="6704" w:type="dxa"/>
            <w:tcMar>
              <w:left w:w="70" w:type="dxa"/>
              <w:right w:w="70" w:type="dxa"/>
            </w:tcMar>
            <w:vAlign w:val="center"/>
          </w:tcPr>
          <w:p w14:paraId="75ABEAC3"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FA4474" w:rsidRPr="00D41537" w14:paraId="14E21204" w14:textId="77777777" w:rsidTr="00CD5205">
        <w:trPr>
          <w:trHeight w:val="420"/>
        </w:trPr>
        <w:tc>
          <w:tcPr>
            <w:tcW w:w="3030" w:type="dxa"/>
            <w:vMerge w:val="restart"/>
            <w:tcMar>
              <w:left w:w="70" w:type="dxa"/>
              <w:right w:w="70" w:type="dxa"/>
            </w:tcMar>
            <w:vAlign w:val="center"/>
          </w:tcPr>
          <w:p w14:paraId="20C94714"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Edilizia e Urbanistica</w:t>
            </w:r>
          </w:p>
        </w:tc>
        <w:tc>
          <w:tcPr>
            <w:tcW w:w="6704" w:type="dxa"/>
            <w:tcMar>
              <w:left w:w="70" w:type="dxa"/>
              <w:right w:w="70" w:type="dxa"/>
            </w:tcMar>
            <w:vAlign w:val="center"/>
          </w:tcPr>
          <w:p w14:paraId="64B87EB7"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Permesso di costruire</w:t>
            </w:r>
          </w:p>
        </w:tc>
      </w:tr>
      <w:tr w:rsidR="00FA4474" w:rsidRPr="00D41537" w14:paraId="5275589C" w14:textId="77777777" w:rsidTr="00CD5205">
        <w:trPr>
          <w:trHeight w:val="390"/>
        </w:trPr>
        <w:tc>
          <w:tcPr>
            <w:tcW w:w="3030" w:type="dxa"/>
            <w:vMerge/>
            <w:vAlign w:val="center"/>
          </w:tcPr>
          <w:p w14:paraId="3FD9EDA2" w14:textId="77777777" w:rsidR="00FA4474" w:rsidRPr="00D41537" w:rsidRDefault="00FA4474" w:rsidP="00E36819"/>
        </w:tc>
        <w:tc>
          <w:tcPr>
            <w:tcW w:w="6704" w:type="dxa"/>
            <w:tcMar>
              <w:left w:w="70" w:type="dxa"/>
              <w:right w:w="70" w:type="dxa"/>
            </w:tcMar>
            <w:vAlign w:val="center"/>
          </w:tcPr>
          <w:p w14:paraId="267E32F3"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Procedura di variante urbanistica</w:t>
            </w:r>
          </w:p>
        </w:tc>
      </w:tr>
      <w:tr w:rsidR="00FA4474" w:rsidRPr="00D41537" w14:paraId="28ABE825" w14:textId="77777777" w:rsidTr="00CD5205">
        <w:trPr>
          <w:trHeight w:val="405"/>
        </w:trPr>
        <w:tc>
          <w:tcPr>
            <w:tcW w:w="3030" w:type="dxa"/>
            <w:vMerge/>
            <w:vAlign w:val="center"/>
          </w:tcPr>
          <w:p w14:paraId="7AD54BAF" w14:textId="77777777" w:rsidR="00FA4474" w:rsidRPr="00D41537" w:rsidRDefault="00FA4474" w:rsidP="00E36819"/>
        </w:tc>
        <w:tc>
          <w:tcPr>
            <w:tcW w:w="6704" w:type="dxa"/>
            <w:tcMar>
              <w:left w:w="70" w:type="dxa"/>
              <w:right w:w="70" w:type="dxa"/>
            </w:tcMar>
            <w:vAlign w:val="center"/>
          </w:tcPr>
          <w:p w14:paraId="63C571CE"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FA4474" w:rsidRPr="00D41537" w14:paraId="4AAE5D40" w14:textId="77777777" w:rsidTr="00CD5205">
        <w:trPr>
          <w:trHeight w:val="555"/>
        </w:trPr>
        <w:tc>
          <w:tcPr>
            <w:tcW w:w="3030" w:type="dxa"/>
            <w:vMerge w:val="restart"/>
            <w:tcMar>
              <w:left w:w="70" w:type="dxa"/>
              <w:right w:w="70" w:type="dxa"/>
            </w:tcMar>
            <w:vAlign w:val="center"/>
          </w:tcPr>
          <w:p w14:paraId="65F59407"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Infrastrutture digitali</w:t>
            </w:r>
          </w:p>
        </w:tc>
        <w:tc>
          <w:tcPr>
            <w:tcW w:w="6704" w:type="dxa"/>
            <w:tcMar>
              <w:left w:w="70" w:type="dxa"/>
              <w:right w:w="70" w:type="dxa"/>
            </w:tcMar>
            <w:vAlign w:val="center"/>
          </w:tcPr>
          <w:p w14:paraId="193CC06A"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per l'installazione di infrastrutture di comunicazione elettronica su proprietà pubbliche e private (art. 86 d.lgs. 259/2003)</w:t>
            </w:r>
          </w:p>
        </w:tc>
      </w:tr>
      <w:tr w:rsidR="00FA4474" w:rsidRPr="00D41537" w14:paraId="6D602D30" w14:textId="77777777" w:rsidTr="00CD5205">
        <w:trPr>
          <w:trHeight w:val="555"/>
        </w:trPr>
        <w:tc>
          <w:tcPr>
            <w:tcW w:w="3030" w:type="dxa"/>
            <w:vMerge/>
            <w:vAlign w:val="center"/>
          </w:tcPr>
          <w:p w14:paraId="1E3C49AD" w14:textId="77777777" w:rsidR="00FA4474" w:rsidRPr="00D41537" w:rsidRDefault="00FA4474" w:rsidP="00E36819"/>
        </w:tc>
        <w:tc>
          <w:tcPr>
            <w:tcW w:w="6704" w:type="dxa"/>
            <w:tcMar>
              <w:left w:w="70" w:type="dxa"/>
              <w:right w:w="70" w:type="dxa"/>
            </w:tcMar>
            <w:vAlign w:val="center"/>
          </w:tcPr>
          <w:p w14:paraId="09E33B22"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FA4474" w:rsidRPr="00D41537" w14:paraId="3B7EFCD6" w14:textId="77777777" w:rsidTr="00CD5205">
        <w:trPr>
          <w:trHeight w:val="960"/>
        </w:trPr>
        <w:tc>
          <w:tcPr>
            <w:tcW w:w="3030" w:type="dxa"/>
            <w:vMerge w:val="restart"/>
            <w:tcMar>
              <w:left w:w="70" w:type="dxa"/>
              <w:right w:w="70" w:type="dxa"/>
            </w:tcMar>
            <w:vAlign w:val="center"/>
          </w:tcPr>
          <w:p w14:paraId="1DB2803A"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Rifiuti</w:t>
            </w:r>
          </w:p>
        </w:tc>
        <w:tc>
          <w:tcPr>
            <w:tcW w:w="6704" w:type="dxa"/>
            <w:tcMar>
              <w:left w:w="70" w:type="dxa"/>
              <w:right w:w="70" w:type="dxa"/>
            </w:tcMar>
            <w:vAlign w:val="center"/>
          </w:tcPr>
          <w:p w14:paraId="63EDF939"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per la realizzazione ed esercizio degli impianti di smaltimento e di recupero (art. 208, d.lgs. 152/2006) e sue varianti sostanziali (comma 19)</w:t>
            </w:r>
          </w:p>
        </w:tc>
      </w:tr>
      <w:tr w:rsidR="00FA4474" w:rsidRPr="00D41537" w14:paraId="09686AD7" w14:textId="77777777" w:rsidTr="00CD5205">
        <w:trPr>
          <w:trHeight w:val="555"/>
        </w:trPr>
        <w:tc>
          <w:tcPr>
            <w:tcW w:w="3030" w:type="dxa"/>
            <w:vMerge/>
            <w:vAlign w:val="center"/>
          </w:tcPr>
          <w:p w14:paraId="11B6849F" w14:textId="77777777" w:rsidR="00FA4474" w:rsidRPr="00D41537" w:rsidRDefault="00FA4474" w:rsidP="00E36819"/>
        </w:tc>
        <w:tc>
          <w:tcPr>
            <w:tcW w:w="6704" w:type="dxa"/>
            <w:tcMar>
              <w:left w:w="70" w:type="dxa"/>
              <w:right w:w="70" w:type="dxa"/>
            </w:tcMar>
            <w:vAlign w:val="center"/>
          </w:tcPr>
          <w:p w14:paraId="220A8A4D"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FA4474" w:rsidRPr="00D41537" w14:paraId="14E18FAB" w14:textId="77777777" w:rsidTr="00CD5205">
        <w:trPr>
          <w:trHeight w:val="1515"/>
        </w:trPr>
        <w:tc>
          <w:tcPr>
            <w:tcW w:w="3030" w:type="dxa"/>
            <w:vMerge w:val="restart"/>
            <w:tcMar>
              <w:left w:w="70" w:type="dxa"/>
              <w:right w:w="70" w:type="dxa"/>
            </w:tcMar>
            <w:vAlign w:val="center"/>
          </w:tcPr>
          <w:p w14:paraId="05D77CCC"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Rinnovabili</w:t>
            </w:r>
          </w:p>
        </w:tc>
        <w:tc>
          <w:tcPr>
            <w:tcW w:w="6704" w:type="dxa"/>
            <w:tcMar>
              <w:left w:w="70" w:type="dxa"/>
              <w:right w:w="70" w:type="dxa"/>
            </w:tcMar>
            <w:vAlign w:val="center"/>
          </w:tcPr>
          <w:p w14:paraId="36DB448C"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alla costruzione e l'esercizio degli impianti di produzione di energia elettrica alimentati da fonti rinnovabili, le opere connesse e le infrastrutture indispensabili alla costruzione e all'esercizio degli impianti, nonché le modifiche sostanziali degli impianti stessi</w:t>
            </w:r>
          </w:p>
        </w:tc>
      </w:tr>
      <w:tr w:rsidR="00FA4474" w:rsidRPr="00D41537" w14:paraId="33A2E1F4" w14:textId="77777777" w:rsidTr="00CD5205">
        <w:trPr>
          <w:trHeight w:val="555"/>
        </w:trPr>
        <w:tc>
          <w:tcPr>
            <w:tcW w:w="3030" w:type="dxa"/>
            <w:vMerge/>
            <w:vAlign w:val="center"/>
          </w:tcPr>
          <w:p w14:paraId="2C5160AC" w14:textId="77777777" w:rsidR="00FA4474" w:rsidRPr="00D41537" w:rsidRDefault="00FA4474" w:rsidP="00E36819"/>
        </w:tc>
        <w:tc>
          <w:tcPr>
            <w:tcW w:w="6704" w:type="dxa"/>
            <w:tcMar>
              <w:left w:w="70" w:type="dxa"/>
              <w:right w:w="70" w:type="dxa"/>
            </w:tcMar>
            <w:vAlign w:val="center"/>
          </w:tcPr>
          <w:p w14:paraId="48F68040"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FA4474" w:rsidRPr="00D41537" w14:paraId="5473A017" w14:textId="77777777" w:rsidTr="00CD5205">
        <w:trPr>
          <w:trHeight w:val="555"/>
        </w:trPr>
        <w:tc>
          <w:tcPr>
            <w:tcW w:w="3030" w:type="dxa"/>
            <w:tcMar>
              <w:left w:w="70" w:type="dxa"/>
              <w:right w:w="70" w:type="dxa"/>
            </w:tcMar>
            <w:vAlign w:val="center"/>
          </w:tcPr>
          <w:p w14:paraId="0AC32B28"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Sociale</w:t>
            </w:r>
          </w:p>
        </w:tc>
        <w:tc>
          <w:tcPr>
            <w:tcW w:w="6704" w:type="dxa"/>
            <w:tcMar>
              <w:left w:w="70" w:type="dxa"/>
              <w:right w:w="70" w:type="dxa"/>
            </w:tcMar>
            <w:vAlign w:val="center"/>
          </w:tcPr>
          <w:p w14:paraId="7C5B4504"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FA4474" w:rsidRPr="00D41537" w14:paraId="6DBF7838" w14:textId="77777777" w:rsidTr="00CD5205">
        <w:trPr>
          <w:trHeight w:val="555"/>
        </w:trPr>
        <w:tc>
          <w:tcPr>
            <w:tcW w:w="3030" w:type="dxa"/>
            <w:vMerge w:val="restart"/>
            <w:tcMar>
              <w:left w:w="70" w:type="dxa"/>
              <w:right w:w="70" w:type="dxa"/>
            </w:tcMar>
            <w:vAlign w:val="center"/>
          </w:tcPr>
          <w:p w14:paraId="72D17316"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Valutazioni e autorizzazioni ambientali</w:t>
            </w:r>
          </w:p>
        </w:tc>
        <w:tc>
          <w:tcPr>
            <w:tcW w:w="6704" w:type="dxa"/>
            <w:tcMar>
              <w:left w:w="70" w:type="dxa"/>
              <w:right w:w="70" w:type="dxa"/>
            </w:tcMar>
            <w:vAlign w:val="center"/>
          </w:tcPr>
          <w:p w14:paraId="6838FFF0"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integrata ambientale: rilascio, rinnovo e modifiche sostanziali</w:t>
            </w:r>
          </w:p>
        </w:tc>
      </w:tr>
      <w:tr w:rsidR="00FA4474" w:rsidRPr="00D41537" w14:paraId="3C0C42D5" w14:textId="77777777" w:rsidTr="00CD5205">
        <w:trPr>
          <w:trHeight w:val="555"/>
        </w:trPr>
        <w:tc>
          <w:tcPr>
            <w:tcW w:w="3030" w:type="dxa"/>
            <w:vMerge/>
            <w:vAlign w:val="center"/>
          </w:tcPr>
          <w:p w14:paraId="6573FAF8" w14:textId="77777777" w:rsidR="00FA4474" w:rsidRPr="00D41537" w:rsidRDefault="00FA4474" w:rsidP="00E36819"/>
        </w:tc>
        <w:tc>
          <w:tcPr>
            <w:tcW w:w="6704" w:type="dxa"/>
            <w:tcMar>
              <w:left w:w="70" w:type="dxa"/>
              <w:right w:w="70" w:type="dxa"/>
            </w:tcMar>
            <w:vAlign w:val="center"/>
          </w:tcPr>
          <w:p w14:paraId="2D6FFB66"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ambientale (AUA): rilascio, rinnovo e modifiche sostanziali</w:t>
            </w:r>
          </w:p>
        </w:tc>
      </w:tr>
      <w:tr w:rsidR="00FA4474" w:rsidRPr="00D41537" w14:paraId="4739C451" w14:textId="77777777" w:rsidTr="00CD5205">
        <w:trPr>
          <w:trHeight w:val="555"/>
        </w:trPr>
        <w:tc>
          <w:tcPr>
            <w:tcW w:w="3030" w:type="dxa"/>
            <w:vMerge/>
            <w:vAlign w:val="center"/>
          </w:tcPr>
          <w:p w14:paraId="3D6CC9DC" w14:textId="77777777" w:rsidR="00FA4474" w:rsidRPr="00D41537" w:rsidRDefault="00FA4474" w:rsidP="00E36819"/>
        </w:tc>
        <w:tc>
          <w:tcPr>
            <w:tcW w:w="6704" w:type="dxa"/>
            <w:tcMar>
              <w:left w:w="70" w:type="dxa"/>
              <w:right w:w="70" w:type="dxa"/>
            </w:tcMar>
            <w:vAlign w:val="center"/>
          </w:tcPr>
          <w:p w14:paraId="1188C6A8"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ambientale strategica (VAS)</w:t>
            </w:r>
          </w:p>
        </w:tc>
      </w:tr>
      <w:tr w:rsidR="00FA4474" w:rsidRPr="00D41537" w14:paraId="703F388F" w14:textId="77777777" w:rsidTr="00CD5205">
        <w:trPr>
          <w:trHeight w:val="555"/>
        </w:trPr>
        <w:tc>
          <w:tcPr>
            <w:tcW w:w="3030" w:type="dxa"/>
            <w:vMerge/>
            <w:vAlign w:val="center"/>
          </w:tcPr>
          <w:p w14:paraId="0E2D347D" w14:textId="77777777" w:rsidR="00FA4474" w:rsidRPr="00D41537" w:rsidRDefault="00FA4474" w:rsidP="00E36819"/>
        </w:tc>
        <w:tc>
          <w:tcPr>
            <w:tcW w:w="6704" w:type="dxa"/>
            <w:tcMar>
              <w:left w:w="70" w:type="dxa"/>
              <w:right w:w="70" w:type="dxa"/>
            </w:tcMar>
            <w:vAlign w:val="center"/>
          </w:tcPr>
          <w:p w14:paraId="774369D0"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d’impatto ambientale (VIA) regionale</w:t>
            </w:r>
          </w:p>
        </w:tc>
      </w:tr>
      <w:tr w:rsidR="00FA4474" w14:paraId="16C89DCF" w14:textId="77777777" w:rsidTr="00CD5205">
        <w:trPr>
          <w:trHeight w:val="555"/>
        </w:trPr>
        <w:tc>
          <w:tcPr>
            <w:tcW w:w="3030" w:type="dxa"/>
            <w:vMerge/>
            <w:vAlign w:val="center"/>
          </w:tcPr>
          <w:p w14:paraId="4469CAA6" w14:textId="77777777" w:rsidR="00FA4474" w:rsidRPr="00D41537" w:rsidRDefault="00FA4474" w:rsidP="00E36819"/>
        </w:tc>
        <w:tc>
          <w:tcPr>
            <w:tcW w:w="6704" w:type="dxa"/>
            <w:tcMar>
              <w:left w:w="70" w:type="dxa"/>
              <w:right w:w="70" w:type="dxa"/>
            </w:tcMar>
            <w:vAlign w:val="center"/>
          </w:tcPr>
          <w:p w14:paraId="29901028" w14:textId="77777777" w:rsidR="00FA4474" w:rsidRPr="00D41537" w:rsidRDefault="00FA4474"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bl>
    <w:p w14:paraId="65167580" w14:textId="77777777" w:rsidR="00A307CA" w:rsidRDefault="00A307CA" w:rsidP="00A307CA">
      <w:pPr>
        <w:pStyle w:val="Testonotaapidipagina"/>
        <w:jc w:val="both"/>
      </w:pPr>
    </w:p>
    <w:p w14:paraId="29A6A105" w14:textId="77777777" w:rsidR="00A307CA" w:rsidRPr="0088614C" w:rsidRDefault="00A307CA" w:rsidP="00A307CA">
      <w:pPr>
        <w:pStyle w:val="Testonotaapidipagina"/>
        <w:jc w:val="both"/>
        <w:rPr>
          <w:i/>
          <w:iCs/>
        </w:rPr>
      </w:pPr>
      <w:r w:rsidRPr="0088614C">
        <w:t xml:space="preserve">Si precisa che con la nota circolare n. 39994839 05/05/2022 del Dipartimento della funzione pubblica ha chiarito che </w:t>
      </w:r>
      <w:r w:rsidRPr="0088614C">
        <w:rPr>
          <w:i/>
          <w:iCs/>
        </w:rPr>
        <w:t>per “endoprocedimenti” si intendono procedimenti volti alla formazione di atti istruttori che precedono il provvedimento amministrativo finale e che ne condizionano la validità o l’efficacia. Si tratta di procedimenti svolti da amministrazioni o uffici diversi da quella titolare del procedimento principale, che si concludono con atti di assenso (autorizzazioni, pareri, intese, concerti, nulla osta) necessari e propedeutici all’adozione del provvedimento finale (quale ad esempio l’autorizzazione paesaggistica in un permesso di costruire).</w:t>
      </w:r>
    </w:p>
    <w:p w14:paraId="787BF768" w14:textId="77777777" w:rsidR="00A307CA" w:rsidRPr="0088614C" w:rsidRDefault="00A307CA" w:rsidP="00A307CA">
      <w:pPr>
        <w:pStyle w:val="Testonotaapidipagina"/>
        <w:jc w:val="both"/>
      </w:pPr>
    </w:p>
    <w:p w14:paraId="46CF52A2" w14:textId="77777777" w:rsidR="00A307CA" w:rsidRPr="0088614C" w:rsidRDefault="00A307CA" w:rsidP="00A307CA">
      <w:pPr>
        <w:shd w:val="clear" w:color="auto" w:fill="FFFFFF"/>
        <w:spacing w:after="0"/>
        <w:rPr>
          <w:rFonts w:cs="Calibri"/>
          <w:sz w:val="20"/>
          <w:szCs w:val="20"/>
        </w:rPr>
      </w:pPr>
      <w:r w:rsidRPr="0088614C">
        <w:rPr>
          <w:rStyle w:val="Rimandonotaapidipagina"/>
        </w:rPr>
        <w:t xml:space="preserve">** </w:t>
      </w:r>
      <w:r w:rsidRPr="0088614C">
        <w:rPr>
          <w:rFonts w:cs="Calibri"/>
          <w:sz w:val="20"/>
          <w:szCs w:val="20"/>
        </w:rPr>
        <w:t>Di seguito si riporta, quale utile riferimento per Beneficiari ed Esperti, l’elenco delle attività contrattuali:</w:t>
      </w:r>
    </w:p>
    <w:p w14:paraId="1AA1E273" w14:textId="77777777" w:rsidR="00A307CA" w:rsidRPr="0088614C" w:rsidRDefault="00A307CA" w:rsidP="00A307CA">
      <w:pPr>
        <w:shd w:val="clear" w:color="auto" w:fill="FFFFFF"/>
        <w:spacing w:after="0"/>
        <w:rPr>
          <w:rFonts w:cs="Calibri"/>
          <w:sz w:val="20"/>
          <w:szCs w:val="20"/>
        </w:rPr>
      </w:pPr>
    </w:p>
    <w:p w14:paraId="4F792833" w14:textId="77777777" w:rsidR="00A307CA" w:rsidRPr="0088614C" w:rsidRDefault="00A307CA" w:rsidP="00A307CA">
      <w:pPr>
        <w:pStyle w:val="paragraph"/>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i/>
          <w:iCs/>
          <w:sz w:val="20"/>
          <w:szCs w:val="20"/>
        </w:rPr>
        <w:t>Analisi</w:t>
      </w:r>
      <w:r w:rsidRPr="0088614C">
        <w:rPr>
          <w:rStyle w:val="eop"/>
          <w:rFonts w:asciiTheme="minorHAnsi" w:hAnsiTheme="minorHAnsi" w:cstheme="minorHAnsi"/>
          <w:sz w:val="20"/>
          <w:szCs w:val="20"/>
        </w:rPr>
        <w:t> </w:t>
      </w:r>
    </w:p>
    <w:p w14:paraId="7607FEDF"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mappare e ricostruire il flusso delle procedure oggetto di supporto (soggetti coinvolti, fasi, modulistica, ecc.)</w:t>
      </w:r>
      <w:r w:rsidRPr="0088614C">
        <w:rPr>
          <w:rStyle w:val="eop"/>
          <w:rFonts w:asciiTheme="minorHAnsi" w:hAnsiTheme="minorHAnsi" w:cstheme="minorHAnsi"/>
          <w:sz w:val="20"/>
          <w:szCs w:val="20"/>
        </w:rPr>
        <w:t> </w:t>
      </w:r>
    </w:p>
    <w:p w14:paraId="2BC9A2C1"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valutare l’impatto delle semplificazioni introdotte dal decreto-legge 1° maggio 2021, n. 77, e dagli altri interventi di riforma adottati nell’ambito del PNRR sul flusso e la modalità di gestione delle procedure oggetto di supporto</w:t>
      </w:r>
      <w:r w:rsidRPr="0088614C">
        <w:rPr>
          <w:rStyle w:val="eop"/>
          <w:rFonts w:asciiTheme="minorHAnsi" w:hAnsiTheme="minorHAnsi" w:cstheme="minorHAnsi"/>
          <w:sz w:val="20"/>
          <w:szCs w:val="20"/>
        </w:rPr>
        <w:t> </w:t>
      </w:r>
    </w:p>
    <w:p w14:paraId="717595C2"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le criticità che caratterizzano le procedure oggetto di supporto e le relative cause </w:t>
      </w:r>
      <w:r w:rsidRPr="0088614C">
        <w:rPr>
          <w:rStyle w:val="eop"/>
          <w:rFonts w:asciiTheme="minorHAnsi" w:hAnsiTheme="minorHAnsi" w:cstheme="minorHAnsi"/>
          <w:sz w:val="20"/>
          <w:szCs w:val="20"/>
        </w:rPr>
        <w:t> </w:t>
      </w:r>
    </w:p>
    <w:p w14:paraId="46FF36E7"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i sistemi informatici esistenti per la gestione delle procedure oggetto di supporto e individuare i fabbisogni di digitalizzazione delle amministrazioni</w:t>
      </w:r>
      <w:r w:rsidRPr="0088614C">
        <w:rPr>
          <w:rStyle w:val="eop"/>
          <w:rFonts w:asciiTheme="minorHAnsi" w:hAnsiTheme="minorHAnsi" w:cstheme="minorHAnsi"/>
          <w:sz w:val="20"/>
          <w:szCs w:val="20"/>
        </w:rPr>
        <w:t> </w:t>
      </w:r>
    </w:p>
    <w:p w14:paraId="47EA0679" w14:textId="77777777" w:rsidR="00A307CA" w:rsidRPr="0088614C" w:rsidRDefault="00A307CA" w:rsidP="00A307CA">
      <w:pPr>
        <w:pStyle w:val="paragraph"/>
        <w:numPr>
          <w:ilvl w:val="0"/>
          <w:numId w:val="2"/>
        </w:numPr>
        <w:spacing w:before="0" w:beforeAutospacing="0" w:after="0" w:afterAutospacing="0"/>
        <w:jc w:val="both"/>
        <w:textAlignment w:val="baseline"/>
        <w:rPr>
          <w:rStyle w:val="eop"/>
          <w:rFonts w:asciiTheme="minorHAnsi" w:hAnsiTheme="minorHAnsi" w:cstheme="minorHAnsi"/>
          <w:sz w:val="20"/>
          <w:szCs w:val="20"/>
        </w:rPr>
      </w:pPr>
      <w:r w:rsidRPr="0088614C">
        <w:rPr>
          <w:rStyle w:val="normaltextrun"/>
          <w:rFonts w:asciiTheme="minorHAnsi" w:hAnsiTheme="minorHAnsi" w:cstheme="minorHAnsi"/>
          <w:sz w:val="20"/>
          <w:szCs w:val="20"/>
        </w:rPr>
        <w:t>rilevare, in base ai criteri e alle modalità indicate DPCM 12 novembre 2021 (Allegato B), i dati utili ai fini della misurazione della baseline (numero di procedure avviate e concluse, tempi medi, ecc.) in relazione alle procedure assegnate </w:t>
      </w:r>
      <w:r w:rsidRPr="0088614C">
        <w:rPr>
          <w:rStyle w:val="eop"/>
          <w:rFonts w:asciiTheme="minorHAnsi" w:hAnsiTheme="minorHAnsi" w:cstheme="minorHAnsi"/>
          <w:sz w:val="20"/>
          <w:szCs w:val="20"/>
        </w:rPr>
        <w:t> </w:t>
      </w:r>
    </w:p>
    <w:p w14:paraId="78071F87" w14:textId="77777777" w:rsidR="00A307CA" w:rsidRPr="0088614C" w:rsidRDefault="00A307CA" w:rsidP="00A307CA">
      <w:pPr>
        <w:pStyle w:val="paragraph"/>
        <w:spacing w:before="0" w:beforeAutospacing="0" w:after="0" w:afterAutospacing="0"/>
        <w:ind w:left="360"/>
        <w:jc w:val="both"/>
        <w:textAlignment w:val="baseline"/>
        <w:rPr>
          <w:rFonts w:asciiTheme="minorHAnsi" w:hAnsiTheme="minorHAnsi" w:cstheme="minorHAnsi"/>
          <w:sz w:val="20"/>
          <w:szCs w:val="20"/>
        </w:rPr>
      </w:pPr>
    </w:p>
    <w:p w14:paraId="44517A80" w14:textId="77777777" w:rsidR="00A307CA" w:rsidRPr="0088614C" w:rsidRDefault="00A307CA" w:rsidP="00A307CA">
      <w:pPr>
        <w:pStyle w:val="paragraph"/>
        <w:spacing w:before="0" w:beforeAutospacing="0" w:after="0" w:afterAutospacing="0"/>
        <w:ind w:left="165"/>
        <w:jc w:val="both"/>
        <w:textAlignment w:val="baseline"/>
        <w:rPr>
          <w:rFonts w:asciiTheme="minorHAnsi" w:hAnsiTheme="minorHAnsi" w:cstheme="minorHAnsi"/>
          <w:i/>
          <w:iCs/>
          <w:sz w:val="20"/>
          <w:szCs w:val="20"/>
        </w:rPr>
      </w:pPr>
      <w:r w:rsidRPr="0088614C">
        <w:rPr>
          <w:rStyle w:val="normaltextrun"/>
          <w:rFonts w:asciiTheme="minorHAnsi" w:hAnsiTheme="minorHAnsi" w:cstheme="minorHAnsi"/>
          <w:i/>
          <w:iCs/>
          <w:sz w:val="20"/>
          <w:szCs w:val="20"/>
        </w:rPr>
        <w:t>Supporto</w:t>
      </w:r>
      <w:r w:rsidRPr="0088614C">
        <w:rPr>
          <w:rStyle w:val="eop"/>
          <w:rFonts w:asciiTheme="minorHAnsi" w:hAnsiTheme="minorHAnsi" w:cstheme="minorHAnsi"/>
          <w:i/>
          <w:iCs/>
          <w:sz w:val="20"/>
          <w:szCs w:val="20"/>
        </w:rPr>
        <w:t> </w:t>
      </w:r>
    </w:p>
    <w:p w14:paraId="04D54F1B"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nell’elaborazione di pareri e altra documentazione utile a fini istruttori</w:t>
      </w:r>
      <w:r w:rsidRPr="0088614C">
        <w:rPr>
          <w:rStyle w:val="normaltextrun"/>
          <w:sz w:val="20"/>
          <w:szCs w:val="20"/>
        </w:rPr>
        <w:t> </w:t>
      </w:r>
    </w:p>
    <w:p w14:paraId="064860AE"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monitorare il contenzioso relativo alle procedure oggetto di supporto e fornire consulenza tecnica e supporto specialistico alle amministrazioni individuate nel Piano Territoriale di Assistenza Tecnica della Regione Lazio – Progetto CUP F81B21008070006 nella predisposizione di atti amministrativi connessi </w:t>
      </w:r>
      <w:r w:rsidRPr="0088614C">
        <w:rPr>
          <w:rStyle w:val="normaltextrun"/>
          <w:sz w:val="20"/>
          <w:szCs w:val="20"/>
        </w:rPr>
        <w:t> </w:t>
      </w:r>
    </w:p>
    <w:p w14:paraId="21B1AA96"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 controllo della documentazione presentata a corredo delle istanze</w:t>
      </w:r>
      <w:r w:rsidRPr="0088614C">
        <w:rPr>
          <w:rStyle w:val="normaltextrun"/>
          <w:sz w:val="20"/>
          <w:szCs w:val="20"/>
        </w:rPr>
        <w:t> </w:t>
      </w:r>
    </w:p>
    <w:p w14:paraId="37E9F8E3"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nella predisposizione e modifica di atti di pianificazione e nella definizione di standard che consentano di accelerare i tempi delle connesse procedure autorizzatorie</w:t>
      </w:r>
      <w:r w:rsidRPr="0088614C">
        <w:rPr>
          <w:rStyle w:val="normaltextrun"/>
          <w:sz w:val="20"/>
          <w:szCs w:val="20"/>
        </w:rPr>
        <w:t> </w:t>
      </w:r>
    </w:p>
    <w:p w14:paraId="25FDDF61"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88614C">
        <w:rPr>
          <w:rStyle w:val="normaltextrun"/>
          <w:rFonts w:asciiTheme="minorHAnsi" w:hAnsiTheme="minorHAnsi" w:cstheme="minorHAnsi"/>
          <w:sz w:val="20"/>
          <w:szCs w:val="20"/>
        </w:rPr>
        <w:t>fornire assistenza giuridica e legale alle amministrazioni individuate nel Piano Territoriale di Assistenza Tecnica della Regione Lazio – Progetto CUP F81B21008070006 nelle controversie instaurate innanzi all’autorità giudiziaria in relazione alle procedure oggetto di supporto (solo per Esperti Giuristi)</w:t>
      </w:r>
    </w:p>
    <w:p w14:paraId="176F4796"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lastRenderedPageBreak/>
        <w:t>fornire sostegno tecnico agli enti e alle imprese nell’attività di presentazione delle istanze, anche attraverso la preparazione di modelli e tabelle di marcia semplificate</w:t>
      </w:r>
      <w:r w:rsidRPr="0088614C">
        <w:rPr>
          <w:rStyle w:val="normaltextrun"/>
          <w:sz w:val="20"/>
          <w:szCs w:val="20"/>
        </w:rPr>
        <w:t> </w:t>
      </w:r>
    </w:p>
    <w:p w14:paraId="2319F393"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impostare e realizzare le attività di monitoraggio periodico sui tempi di conclusione delle procedure previste dal DPCM 12 novembre 2021 (Allegato B),</w:t>
      </w:r>
      <w:r w:rsidRPr="0088614C">
        <w:rPr>
          <w:rStyle w:val="normaltextrun"/>
          <w:sz w:val="20"/>
          <w:szCs w:val="20"/>
        </w:rPr>
        <w:t> </w:t>
      </w:r>
    </w:p>
    <w:p w14:paraId="35A21D14"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elaborare moduli semplificati e standardizzati per le procedure oggetto di supporto</w:t>
      </w:r>
      <w:r w:rsidRPr="0088614C">
        <w:rPr>
          <w:rStyle w:val="normaltextrun"/>
          <w:sz w:val="20"/>
          <w:szCs w:val="20"/>
        </w:rPr>
        <w:t> </w:t>
      </w:r>
    </w:p>
    <w:p w14:paraId="27425777"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elaborare form digitali per l’accesso telematico alle procedure oggetto di supporto</w:t>
      </w:r>
      <w:r w:rsidRPr="0088614C">
        <w:rPr>
          <w:rStyle w:val="normaltextrun"/>
          <w:sz w:val="20"/>
          <w:szCs w:val="20"/>
        </w:rPr>
        <w:t> </w:t>
      </w:r>
    </w:p>
    <w:p w14:paraId="372249D8"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progettare/riprogettare sistemi informatizzati di gestione delle procedure amministrative oggetto di supporto</w:t>
      </w:r>
      <w:r w:rsidRPr="0088614C">
        <w:rPr>
          <w:rStyle w:val="normaltextrun"/>
          <w:sz w:val="20"/>
          <w:szCs w:val="20"/>
        </w:rPr>
        <w:t> </w:t>
      </w:r>
    </w:p>
    <w:p w14:paraId="3977C699" w14:textId="77777777" w:rsidR="00A307CA"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assistenza tecnica agli enti del territorio per l’adozione e l’utilizzo di sistemi informatizzati di gestione delle procedure amministrative</w:t>
      </w:r>
      <w:r w:rsidRPr="0088614C">
        <w:rPr>
          <w:rStyle w:val="normaltextrun"/>
          <w:sz w:val="20"/>
          <w:szCs w:val="20"/>
        </w:rPr>
        <w:t> </w:t>
      </w:r>
    </w:p>
    <w:p w14:paraId="2DF99152" w14:textId="76378520" w:rsidR="00BA17E8" w:rsidRPr="00BA17E8" w:rsidRDefault="00BA17E8" w:rsidP="00BA17E8">
      <w:pPr>
        <w:pStyle w:val="paragraph"/>
        <w:numPr>
          <w:ilvl w:val="0"/>
          <w:numId w:val="2"/>
        </w:numPr>
        <w:spacing w:before="0" w:beforeAutospacing="0" w:after="0" w:afterAutospacing="0"/>
        <w:jc w:val="both"/>
        <w:rPr>
          <w:rStyle w:val="normaltextrun"/>
          <w:rFonts w:asciiTheme="minorHAnsi" w:hAnsiTheme="minorHAnsi" w:cstheme="minorBidi"/>
          <w:sz w:val="20"/>
          <w:szCs w:val="20"/>
        </w:rPr>
      </w:pPr>
      <w:r w:rsidRPr="23AACC57">
        <w:rPr>
          <w:rStyle w:val="normaltextrun"/>
          <w:rFonts w:asciiTheme="minorHAnsi" w:hAnsiTheme="minorHAnsi" w:cstheme="minorBidi"/>
          <w:sz w:val="20"/>
          <w:szCs w:val="20"/>
        </w:rPr>
        <w:t>fornire supporto tecnico-operativo agli enti territoriali per la realizzazione di singoli progetti e investimenti PNRR, relativamente ad attività che richiedono una competenza specifica, per azioni già avviate, programmate, o da attivare e finalizzata a rafforzare la capacità amministrativa delle amministrazioni, in particolare a livello locale</w:t>
      </w:r>
    </w:p>
    <w:p w14:paraId="430AC156" w14:textId="77777777" w:rsidR="00A307CA" w:rsidRPr="0088614C" w:rsidRDefault="00A307CA" w:rsidP="00A307CA">
      <w:pPr>
        <w:pStyle w:val="paragraph"/>
        <w:spacing w:before="0" w:beforeAutospacing="0" w:after="0" w:afterAutospacing="0"/>
        <w:ind w:left="360"/>
        <w:jc w:val="both"/>
        <w:textAlignment w:val="baseline"/>
        <w:rPr>
          <w:rStyle w:val="normaltextrun"/>
          <w:sz w:val="20"/>
          <w:szCs w:val="20"/>
        </w:rPr>
      </w:pPr>
    </w:p>
    <w:p w14:paraId="0EA7CD59" w14:textId="77777777" w:rsidR="00A307CA" w:rsidRPr="0088614C" w:rsidRDefault="00A307CA" w:rsidP="00A307CA">
      <w:pPr>
        <w:shd w:val="clear" w:color="auto" w:fill="FFFFFF"/>
        <w:spacing w:after="0"/>
        <w:rPr>
          <w:rFonts w:asciiTheme="minorHAnsi" w:hAnsiTheme="minorHAnsi" w:cstheme="minorHAnsi"/>
          <w:i/>
          <w:iCs/>
          <w:sz w:val="20"/>
          <w:szCs w:val="20"/>
        </w:rPr>
      </w:pPr>
      <w:r w:rsidRPr="0088614C">
        <w:rPr>
          <w:rFonts w:cs="Calibri"/>
          <w:i/>
          <w:iCs/>
          <w:sz w:val="20"/>
          <w:szCs w:val="20"/>
        </w:rPr>
        <w:t>Proposte</w:t>
      </w:r>
      <w:r w:rsidRPr="0088614C">
        <w:rPr>
          <w:rStyle w:val="eop"/>
          <w:rFonts w:asciiTheme="minorHAnsi" w:hAnsiTheme="minorHAnsi" w:cstheme="minorHAnsi"/>
          <w:i/>
          <w:iCs/>
          <w:sz w:val="20"/>
          <w:szCs w:val="20"/>
        </w:rPr>
        <w:t> </w:t>
      </w:r>
    </w:p>
    <w:p w14:paraId="567D7F49"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innovazione nei modelli organizzativi, di reingegnerizzazione e semplificazione amministrativa dei processi e degli strumenti dell’azione amministrativa riguardanti le procedure oggetto di intervento </w:t>
      </w:r>
      <w:r w:rsidRPr="0088614C">
        <w:rPr>
          <w:rStyle w:val="normaltextrun"/>
          <w:sz w:val="20"/>
          <w:szCs w:val="20"/>
        </w:rPr>
        <w:t> </w:t>
      </w:r>
    </w:p>
    <w:p w14:paraId="2788F6F4" w14:textId="77777777" w:rsidR="00A307CA"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semplificazione normativa riguardanti le procedure oggetto di intervento </w:t>
      </w:r>
      <w:r w:rsidRPr="0088614C">
        <w:rPr>
          <w:rStyle w:val="normaltextrun"/>
          <w:sz w:val="20"/>
          <w:szCs w:val="20"/>
        </w:rPr>
        <w:t> </w:t>
      </w:r>
    </w:p>
    <w:p w14:paraId="7907EDB5" w14:textId="77777777" w:rsidR="00BA17E8" w:rsidRDefault="00BA17E8" w:rsidP="00BA17E8">
      <w:pPr>
        <w:pStyle w:val="paragraph"/>
        <w:spacing w:before="0" w:beforeAutospacing="0" w:after="0" w:afterAutospacing="0"/>
        <w:jc w:val="both"/>
        <w:textAlignment w:val="baseline"/>
        <w:rPr>
          <w:rStyle w:val="normaltextrun"/>
          <w:sz w:val="20"/>
          <w:szCs w:val="20"/>
        </w:rPr>
      </w:pPr>
    </w:p>
    <w:p w14:paraId="38A2C4FA" w14:textId="77777777" w:rsidR="00BA17E8" w:rsidRDefault="00BA17E8" w:rsidP="00BA17E8">
      <w:pPr>
        <w:shd w:val="clear" w:color="auto" w:fill="FFFFFF" w:themeFill="background1"/>
        <w:spacing w:after="0"/>
        <w:rPr>
          <w:rFonts w:cs="Calibri"/>
          <w:i/>
          <w:iCs/>
          <w:sz w:val="20"/>
          <w:szCs w:val="20"/>
        </w:rPr>
      </w:pPr>
      <w:r w:rsidRPr="59A22B84">
        <w:rPr>
          <w:rFonts w:cs="Calibri"/>
          <w:i/>
          <w:iCs/>
          <w:sz w:val="20"/>
          <w:szCs w:val="20"/>
        </w:rPr>
        <w:t>Coordinamento</w:t>
      </w:r>
    </w:p>
    <w:p w14:paraId="576B8EB3" w14:textId="77777777" w:rsidR="00BA17E8" w:rsidRDefault="00BA17E8" w:rsidP="00BA17E8">
      <w:pPr>
        <w:pStyle w:val="paragraph"/>
        <w:numPr>
          <w:ilvl w:val="0"/>
          <w:numId w:val="5"/>
        </w:numPr>
        <w:spacing w:before="0" w:beforeAutospacing="0" w:after="0" w:afterAutospacing="0"/>
        <w:jc w:val="both"/>
        <w:rPr>
          <w:rStyle w:val="normaltextrun"/>
          <w:rFonts w:asciiTheme="minorHAnsi" w:hAnsiTheme="minorHAnsi" w:cstheme="minorBidi"/>
          <w:sz w:val="20"/>
          <w:szCs w:val="20"/>
        </w:rPr>
      </w:pPr>
      <w:r w:rsidRPr="59A22B84">
        <w:rPr>
          <w:rStyle w:val="normaltextrun"/>
          <w:rFonts w:asciiTheme="minorHAnsi" w:hAnsiTheme="minorHAnsi" w:cstheme="minorBidi"/>
          <w:sz w:val="20"/>
          <w:szCs w:val="20"/>
        </w:rPr>
        <w:t>impostare e realizzare attività di monitoraggio dello stato di avanzamento dell’intervento e di verifica del raggiungimento degli obiettivi intermedi e finali</w:t>
      </w:r>
    </w:p>
    <w:p w14:paraId="544E47BC" w14:textId="77777777" w:rsidR="00BA17E8" w:rsidRDefault="00BA17E8" w:rsidP="00BA17E8">
      <w:pPr>
        <w:pStyle w:val="paragraph"/>
        <w:numPr>
          <w:ilvl w:val="0"/>
          <w:numId w:val="5"/>
        </w:numPr>
        <w:spacing w:before="0" w:beforeAutospacing="0" w:after="0" w:afterAutospacing="0"/>
        <w:jc w:val="both"/>
        <w:rPr>
          <w:rStyle w:val="normaltextrun"/>
          <w:rFonts w:asciiTheme="minorHAnsi" w:hAnsiTheme="minorHAnsi" w:cstheme="minorBidi"/>
          <w:sz w:val="20"/>
          <w:szCs w:val="20"/>
        </w:rPr>
      </w:pPr>
      <w:r w:rsidRPr="59A22B84">
        <w:rPr>
          <w:rStyle w:val="normaltextrun"/>
          <w:rFonts w:asciiTheme="minorHAnsi" w:hAnsiTheme="minorHAnsi" w:cstheme="minorBidi"/>
          <w:sz w:val="20"/>
          <w:szCs w:val="20"/>
        </w:rPr>
        <w:t>realizzare attività di pianificazione, controllo e comunicazione interna ai fini dell’efficiente gestione dell’intervento</w:t>
      </w:r>
    </w:p>
    <w:p w14:paraId="5A22E7EA" w14:textId="77777777" w:rsidR="00BA17E8" w:rsidRDefault="00BA17E8" w:rsidP="00BA17E8">
      <w:pPr>
        <w:pStyle w:val="paragraph"/>
        <w:numPr>
          <w:ilvl w:val="0"/>
          <w:numId w:val="5"/>
        </w:numPr>
        <w:spacing w:before="0" w:beforeAutospacing="0" w:after="0" w:afterAutospacing="0"/>
        <w:jc w:val="both"/>
        <w:rPr>
          <w:rStyle w:val="normaltextrun"/>
          <w:rFonts w:asciiTheme="minorHAnsi" w:hAnsiTheme="minorHAnsi" w:cstheme="minorBidi"/>
          <w:sz w:val="20"/>
          <w:szCs w:val="20"/>
        </w:rPr>
      </w:pPr>
      <w:r w:rsidRPr="59A22B84">
        <w:rPr>
          <w:rStyle w:val="normaltextrun"/>
          <w:rFonts w:asciiTheme="minorHAnsi" w:hAnsiTheme="minorHAnsi" w:cstheme="minorBidi"/>
          <w:sz w:val="20"/>
          <w:szCs w:val="20"/>
        </w:rPr>
        <w:t>gestire e facilitare le attività di interlocuzione e il coordinamento tra le diverse amministrazioni coinvolte nella gestione delle procedure complesse oggetto di intervento</w:t>
      </w:r>
    </w:p>
    <w:p w14:paraId="0827D613" w14:textId="77777777" w:rsidR="00BA17E8" w:rsidRDefault="00BA17E8" w:rsidP="00BA17E8">
      <w:pPr>
        <w:pStyle w:val="paragraph"/>
        <w:numPr>
          <w:ilvl w:val="0"/>
          <w:numId w:val="5"/>
        </w:numPr>
        <w:spacing w:before="0" w:beforeAutospacing="0" w:after="0" w:afterAutospacing="0"/>
        <w:jc w:val="both"/>
        <w:rPr>
          <w:rStyle w:val="normaltextrun"/>
          <w:rFonts w:asciiTheme="minorHAnsi" w:hAnsiTheme="minorHAnsi" w:cstheme="minorBidi"/>
          <w:sz w:val="20"/>
          <w:szCs w:val="20"/>
        </w:rPr>
      </w:pPr>
      <w:r w:rsidRPr="59A22B84">
        <w:rPr>
          <w:rStyle w:val="normaltextrun"/>
          <w:rFonts w:asciiTheme="minorHAnsi" w:hAnsiTheme="minorHAnsi" w:cstheme="minorBidi"/>
          <w:sz w:val="20"/>
          <w:szCs w:val="20"/>
        </w:rPr>
        <w:t>partecipare alle riunioni di coordinamento periodico organizzate dall’Amministrazione committente</w:t>
      </w:r>
    </w:p>
    <w:p w14:paraId="7B4C571D" w14:textId="77777777" w:rsidR="00BA17E8" w:rsidRDefault="00BA17E8" w:rsidP="00BA17E8">
      <w:pPr>
        <w:pStyle w:val="paragraph"/>
        <w:numPr>
          <w:ilvl w:val="0"/>
          <w:numId w:val="5"/>
        </w:numPr>
        <w:spacing w:before="0" w:beforeAutospacing="0" w:after="0" w:afterAutospacing="0"/>
        <w:jc w:val="both"/>
        <w:rPr>
          <w:rStyle w:val="normaltextrun"/>
          <w:rFonts w:asciiTheme="minorHAnsi" w:hAnsiTheme="minorHAnsi" w:cstheme="minorBidi"/>
          <w:sz w:val="20"/>
          <w:szCs w:val="20"/>
        </w:rPr>
      </w:pPr>
      <w:r w:rsidRPr="23AACC57">
        <w:rPr>
          <w:rStyle w:val="normaltextrun"/>
          <w:rFonts w:asciiTheme="minorHAnsi" w:hAnsiTheme="minorHAnsi" w:cstheme="minorBidi"/>
          <w:sz w:val="20"/>
          <w:szCs w:val="20"/>
        </w:rPr>
        <w:t>partecipare alle attività organizzate dal Dipartimento della funzione pubblica della Presidenza del Consiglio dei Ministri per il coordinamento e la gestione complessiva dell’intervento a livello nazionale (comunità di pratiche, incontri, ecc.)</w:t>
      </w:r>
    </w:p>
    <w:p w14:paraId="3AB6E6ED" w14:textId="77777777" w:rsidR="00BA17E8" w:rsidRDefault="00BA17E8" w:rsidP="00BA17E8">
      <w:pPr>
        <w:pStyle w:val="paragraph"/>
        <w:numPr>
          <w:ilvl w:val="0"/>
          <w:numId w:val="5"/>
        </w:numPr>
        <w:spacing w:before="0" w:beforeAutospacing="0" w:after="0" w:afterAutospacing="0"/>
        <w:jc w:val="both"/>
        <w:rPr>
          <w:rFonts w:ascii="Calibri" w:eastAsia="Calibri" w:hAnsi="Calibri" w:cs="Calibri"/>
          <w:sz w:val="20"/>
          <w:szCs w:val="20"/>
        </w:rPr>
      </w:pPr>
      <w:r w:rsidRPr="23AACC57">
        <w:rPr>
          <w:rFonts w:ascii="Calibri" w:eastAsia="Calibri" w:hAnsi="Calibri" w:cs="Calibri"/>
          <w:sz w:val="20"/>
          <w:szCs w:val="20"/>
        </w:rPr>
        <w:t>supporto tecnico-operativo strettamente finalizzato alla realizzazione dei singoli progetti e investimenti finanziati dal PNRR</w:t>
      </w:r>
    </w:p>
    <w:p w14:paraId="4D0339B7" w14:textId="77777777" w:rsidR="00BA17E8" w:rsidRDefault="00BA17E8" w:rsidP="00A307CA">
      <w:pPr>
        <w:shd w:val="clear" w:color="auto" w:fill="FFFFFF"/>
        <w:spacing w:before="120" w:after="0"/>
        <w:rPr>
          <w:rFonts w:asciiTheme="minorHAnsi" w:hAnsiTheme="minorHAnsi" w:cstheme="minorHAnsi"/>
          <w:i/>
          <w:iCs/>
          <w:color w:val="222A35" w:themeColor="text2" w:themeShade="80"/>
          <w:sz w:val="20"/>
          <w:szCs w:val="20"/>
        </w:rPr>
      </w:pPr>
    </w:p>
    <w:p w14:paraId="11A772D9" w14:textId="77777777" w:rsidR="00BA17E8" w:rsidRPr="0068430E" w:rsidRDefault="00BA17E8" w:rsidP="00BA17E8">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RISULTATI ATTESI</w:t>
      </w:r>
    </w:p>
    <w:p w14:paraId="5FEDA800" w14:textId="77777777" w:rsidR="00BA17E8" w:rsidRPr="0068430E" w:rsidRDefault="00BA17E8" w:rsidP="00BA17E8">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Supporto</w:t>
      </w:r>
    </w:p>
    <w:p w14:paraId="3B52F88B" w14:textId="77777777" w:rsidR="00BA17E8" w:rsidRPr="0068430E" w:rsidRDefault="00BA17E8" w:rsidP="00BA17E8">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Report di monitoraggio dei risultati progettuali in termini di avanzamento nel conseguimento dei target → Semestrale</w:t>
      </w:r>
    </w:p>
    <w:p w14:paraId="7915BF97" w14:textId="77777777" w:rsidR="00BA17E8" w:rsidRPr="0068430E" w:rsidRDefault="00BA17E8" w:rsidP="00BA17E8">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Proposte</w:t>
      </w:r>
    </w:p>
    <w:p w14:paraId="5263EE8D" w14:textId="77777777" w:rsidR="00BA17E8" w:rsidRPr="0068430E" w:rsidRDefault="00BA17E8" w:rsidP="00BA17E8">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Documento di proposte in termini di semplificazione e reingegnerizzazione con valutazione dei risultati attesi in termini di riduzione dei tempi → Semestrale (a partire da maggio 2025)</w:t>
      </w:r>
    </w:p>
    <w:p w14:paraId="6918B733" w14:textId="77777777" w:rsidR="00A307CA" w:rsidRPr="0088614C" w:rsidRDefault="00A307CA" w:rsidP="00BA17E8">
      <w:pPr>
        <w:pStyle w:val="paragraph"/>
        <w:spacing w:before="0" w:beforeAutospacing="0" w:after="0" w:afterAutospacing="0"/>
        <w:jc w:val="both"/>
        <w:textAlignment w:val="baseline"/>
        <w:rPr>
          <w:sz w:val="20"/>
          <w:szCs w:val="20"/>
        </w:rPr>
      </w:pPr>
    </w:p>
    <w:p w14:paraId="4B41801C" w14:textId="77777777" w:rsidR="00A307CA" w:rsidRPr="0088614C" w:rsidRDefault="00A307CA" w:rsidP="00A307CA">
      <w:pPr>
        <w:rPr>
          <w:sz w:val="20"/>
          <w:szCs w:val="20"/>
        </w:rPr>
      </w:pPr>
      <w:r w:rsidRPr="0088614C">
        <w:rPr>
          <w:sz w:val="20"/>
          <w:szCs w:val="20"/>
        </w:rPr>
        <w:t>==============================================================================================</w:t>
      </w:r>
    </w:p>
    <w:p w14:paraId="2ADC9168" w14:textId="77777777" w:rsidR="00A307CA" w:rsidRDefault="00A307CA" w:rsidP="00A307CA">
      <w:pPr>
        <w:rPr>
          <w:sz w:val="20"/>
          <w:szCs w:val="20"/>
        </w:rPr>
      </w:pPr>
    </w:p>
    <w:sectPr w:rsidR="00A307CA" w:rsidSect="0084522B">
      <w:headerReference w:type="default" r:id="rId10"/>
      <w:pgSz w:w="11906" w:h="16838"/>
      <w:pgMar w:top="1418"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5DC3" w14:textId="77777777" w:rsidR="008A3DC3" w:rsidRDefault="008A3DC3">
      <w:pPr>
        <w:spacing w:after="0" w:line="240" w:lineRule="auto"/>
      </w:pPr>
      <w:r>
        <w:separator/>
      </w:r>
    </w:p>
  </w:endnote>
  <w:endnote w:type="continuationSeparator" w:id="0">
    <w:p w14:paraId="0D695B0E" w14:textId="77777777" w:rsidR="008A3DC3" w:rsidRDefault="008A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E359" w14:textId="77777777" w:rsidR="008A3DC3" w:rsidRDefault="008A3DC3">
      <w:pPr>
        <w:spacing w:after="0" w:line="240" w:lineRule="auto"/>
      </w:pPr>
      <w:r>
        <w:rPr>
          <w:color w:val="000000"/>
        </w:rPr>
        <w:separator/>
      </w:r>
    </w:p>
  </w:footnote>
  <w:footnote w:type="continuationSeparator" w:id="0">
    <w:p w14:paraId="4739BE8F" w14:textId="77777777" w:rsidR="008A3DC3" w:rsidRDefault="008A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5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3331"/>
      <w:gridCol w:w="3140"/>
    </w:tblGrid>
    <w:tr w:rsidR="007B0433" w14:paraId="5AAFE9D8" w14:textId="77777777" w:rsidTr="002D20E8">
      <w:trPr>
        <w:trHeight w:val="420"/>
        <w:jc w:val="center"/>
      </w:trPr>
      <w:tc>
        <w:tcPr>
          <w:tcW w:w="1714" w:type="pct"/>
          <w:vAlign w:val="center"/>
          <w:hideMark/>
        </w:tcPr>
        <w:p w14:paraId="4F98CCD3" w14:textId="77777777" w:rsidR="007B0433" w:rsidRDefault="007B0433" w:rsidP="007B0433">
          <w:pPr>
            <w:pageBreakBefore/>
            <w:jc w:val="center"/>
            <w:rPr>
              <w:rFonts w:cstheme="minorHAnsi"/>
            </w:rPr>
          </w:pPr>
          <w:r>
            <w:rPr>
              <w:noProof/>
            </w:rPr>
            <w:drawing>
              <wp:inline distT="0" distB="0" distL="0" distR="0" wp14:anchorId="4F6AD617" wp14:editId="50A40F10">
                <wp:extent cx="2232660" cy="581660"/>
                <wp:effectExtent l="0" t="0" r="0" b="889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581660"/>
                        </a:xfrm>
                        <a:prstGeom prst="rect">
                          <a:avLst/>
                        </a:prstGeom>
                        <a:noFill/>
                        <a:ln>
                          <a:noFill/>
                        </a:ln>
                      </pic:spPr>
                    </pic:pic>
                  </a:graphicData>
                </a:graphic>
              </wp:inline>
            </w:drawing>
          </w:r>
        </w:p>
      </w:tc>
      <w:tc>
        <w:tcPr>
          <w:tcW w:w="1690" w:type="pct"/>
          <w:vAlign w:val="center"/>
          <w:hideMark/>
        </w:tcPr>
        <w:p w14:paraId="33F68821" w14:textId="77777777" w:rsidR="007B0433" w:rsidRDefault="007B0433" w:rsidP="007B0433">
          <w:pPr>
            <w:pageBreakBefore/>
            <w:ind w:left="-50"/>
            <w:rPr>
              <w:rFonts w:cstheme="minorHAnsi"/>
              <w:sz w:val="24"/>
            </w:rPr>
          </w:pPr>
          <w:r>
            <w:rPr>
              <w:noProof/>
            </w:rPr>
            <w:drawing>
              <wp:inline distT="0" distB="0" distL="0" distR="0" wp14:anchorId="40E2C96E" wp14:editId="57565B06">
                <wp:extent cx="1852295" cy="570230"/>
                <wp:effectExtent l="0" t="0" r="0" b="1270"/>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31873" r="36070" b="39024"/>
                        <a:stretch>
                          <a:fillRect/>
                        </a:stretch>
                      </pic:blipFill>
                      <pic:spPr bwMode="auto">
                        <a:xfrm>
                          <a:off x="0" y="0"/>
                          <a:ext cx="1852295" cy="570230"/>
                        </a:xfrm>
                        <a:prstGeom prst="rect">
                          <a:avLst/>
                        </a:prstGeom>
                        <a:noFill/>
                        <a:ln>
                          <a:noFill/>
                        </a:ln>
                      </pic:spPr>
                    </pic:pic>
                  </a:graphicData>
                </a:graphic>
              </wp:inline>
            </w:drawing>
          </w:r>
        </w:p>
      </w:tc>
      <w:tc>
        <w:tcPr>
          <w:tcW w:w="1595" w:type="pct"/>
          <w:vAlign w:val="center"/>
          <w:hideMark/>
        </w:tcPr>
        <w:p w14:paraId="13D12CC9" w14:textId="77777777" w:rsidR="007B0433" w:rsidRDefault="007B0433" w:rsidP="007B0433">
          <w:pPr>
            <w:pageBreakBefore/>
            <w:jc w:val="right"/>
            <w:rPr>
              <w:rFonts w:cstheme="minorHAnsi"/>
            </w:rPr>
          </w:pPr>
          <w:r>
            <w:rPr>
              <w:rFonts w:cstheme="minorHAnsi"/>
              <w:noProof/>
            </w:rPr>
            <w:drawing>
              <wp:inline distT="0" distB="0" distL="0" distR="0" wp14:anchorId="26EEDBC2" wp14:editId="34716E81">
                <wp:extent cx="1650365" cy="474980"/>
                <wp:effectExtent l="0" t="0" r="698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0365" cy="474980"/>
                        </a:xfrm>
                        <a:prstGeom prst="rect">
                          <a:avLst/>
                        </a:prstGeom>
                        <a:noFill/>
                        <a:ln>
                          <a:noFill/>
                        </a:ln>
                      </pic:spPr>
                    </pic:pic>
                  </a:graphicData>
                </a:graphic>
              </wp:inline>
            </w:drawing>
          </w:r>
        </w:p>
      </w:tc>
    </w:tr>
    <w:tr w:rsidR="007B0433" w14:paraId="1B776BAF" w14:textId="77777777" w:rsidTr="002D20E8">
      <w:trPr>
        <w:trHeight w:val="195"/>
        <w:jc w:val="center"/>
      </w:trPr>
      <w:tc>
        <w:tcPr>
          <w:tcW w:w="5000" w:type="pct"/>
          <w:gridSpan w:val="3"/>
          <w:vAlign w:val="center"/>
          <w:hideMark/>
        </w:tcPr>
        <w:p w14:paraId="29AAE09B" w14:textId="77777777" w:rsidR="007B0433" w:rsidRDefault="007B0433" w:rsidP="007B0433">
          <w:pPr>
            <w:pStyle w:val="Intestazione"/>
            <w:jc w:val="center"/>
            <w:rPr>
              <w:rFonts w:asciiTheme="minorHAnsi" w:hAnsiTheme="minorHAnsi" w:cstheme="minorHAnsi"/>
              <w:color w:val="1F4E79" w:themeColor="accent5" w:themeShade="80"/>
              <w:sz w:val="16"/>
              <w:szCs w:val="16"/>
            </w:rPr>
          </w:pPr>
          <w:r>
            <w:rPr>
              <w:rFonts w:asciiTheme="minorHAnsi" w:hAnsiTheme="minorHAnsi" w:cstheme="minorHAnsi"/>
              <w:color w:val="1F4E79" w:themeColor="accent5" w:themeShade="80"/>
              <w:sz w:val="16"/>
              <w:szCs w:val="16"/>
            </w:rPr>
            <w:t>Piano Nazionale di Ripresa e Resilienza (PNRR) – Missione 1 “Digitalizzazione, innovazione, competitività, cultura e turismo” – Componente 1 “Digitalizzazione, innovazione e sicurezza nella PA” – Investimento 2.2 “Task force digitalizzazione, monitoraggio e performance” – Subinvestimento 2.2.1 “Assistenza tecnica a livello centrale e locale del PNRR” – Progetto CUP F81B21008070006 – Piano Territoriale di Assistenza Tecnica Regione Lazio</w:t>
          </w:r>
        </w:p>
      </w:tc>
    </w:tr>
  </w:tbl>
  <w:p w14:paraId="10A8A410" w14:textId="77777777" w:rsidR="0084522B" w:rsidRPr="007326CC" w:rsidRDefault="0084522B" w:rsidP="007326CC">
    <w:pPr>
      <w:pStyle w:val="Intestazion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2CF2"/>
    <w:multiLevelType w:val="hybridMultilevel"/>
    <w:tmpl w:val="044C3A9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7D14FEE"/>
    <w:multiLevelType w:val="hybridMultilevel"/>
    <w:tmpl w:val="5472EC4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3F3624D"/>
    <w:multiLevelType w:val="hybridMultilevel"/>
    <w:tmpl w:val="DDA00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E242F4"/>
    <w:multiLevelType w:val="hybridMultilevel"/>
    <w:tmpl w:val="A440D74E"/>
    <w:lvl w:ilvl="0" w:tplc="6E2E6460">
      <w:start w:val="1"/>
      <w:numFmt w:val="bullet"/>
      <w:lvlText w:val=""/>
      <w:lvlJc w:val="left"/>
      <w:pPr>
        <w:ind w:left="360" w:hanging="360"/>
      </w:pPr>
      <w:rPr>
        <w:rFonts w:ascii="Wingdings" w:hAnsi="Wingdings" w:hint="default"/>
      </w:rPr>
    </w:lvl>
    <w:lvl w:ilvl="1" w:tplc="4B52F802">
      <w:start w:val="1"/>
      <w:numFmt w:val="bullet"/>
      <w:lvlText w:val="o"/>
      <w:lvlJc w:val="left"/>
      <w:pPr>
        <w:ind w:left="1080" w:hanging="360"/>
      </w:pPr>
      <w:rPr>
        <w:rFonts w:ascii="Courier New" w:hAnsi="Courier New" w:hint="default"/>
      </w:rPr>
    </w:lvl>
    <w:lvl w:ilvl="2" w:tplc="01209CDA">
      <w:start w:val="1"/>
      <w:numFmt w:val="bullet"/>
      <w:lvlText w:val=""/>
      <w:lvlJc w:val="left"/>
      <w:pPr>
        <w:ind w:left="1800" w:hanging="360"/>
      </w:pPr>
      <w:rPr>
        <w:rFonts w:ascii="Wingdings" w:hAnsi="Wingdings" w:hint="default"/>
      </w:rPr>
    </w:lvl>
    <w:lvl w:ilvl="3" w:tplc="D2EC2552">
      <w:start w:val="1"/>
      <w:numFmt w:val="bullet"/>
      <w:lvlText w:val=""/>
      <w:lvlJc w:val="left"/>
      <w:pPr>
        <w:ind w:left="2520" w:hanging="360"/>
      </w:pPr>
      <w:rPr>
        <w:rFonts w:ascii="Symbol" w:hAnsi="Symbol" w:hint="default"/>
      </w:rPr>
    </w:lvl>
    <w:lvl w:ilvl="4" w:tplc="1F402A44">
      <w:start w:val="1"/>
      <w:numFmt w:val="bullet"/>
      <w:lvlText w:val="o"/>
      <w:lvlJc w:val="left"/>
      <w:pPr>
        <w:ind w:left="3240" w:hanging="360"/>
      </w:pPr>
      <w:rPr>
        <w:rFonts w:ascii="Courier New" w:hAnsi="Courier New" w:hint="default"/>
      </w:rPr>
    </w:lvl>
    <w:lvl w:ilvl="5" w:tplc="E0500EE2">
      <w:start w:val="1"/>
      <w:numFmt w:val="bullet"/>
      <w:lvlText w:val=""/>
      <w:lvlJc w:val="left"/>
      <w:pPr>
        <w:ind w:left="3960" w:hanging="360"/>
      </w:pPr>
      <w:rPr>
        <w:rFonts w:ascii="Wingdings" w:hAnsi="Wingdings" w:hint="default"/>
      </w:rPr>
    </w:lvl>
    <w:lvl w:ilvl="6" w:tplc="3468E184">
      <w:start w:val="1"/>
      <w:numFmt w:val="bullet"/>
      <w:lvlText w:val=""/>
      <w:lvlJc w:val="left"/>
      <w:pPr>
        <w:ind w:left="4680" w:hanging="360"/>
      </w:pPr>
      <w:rPr>
        <w:rFonts w:ascii="Symbol" w:hAnsi="Symbol" w:hint="default"/>
      </w:rPr>
    </w:lvl>
    <w:lvl w:ilvl="7" w:tplc="2258F328">
      <w:start w:val="1"/>
      <w:numFmt w:val="bullet"/>
      <w:lvlText w:val="o"/>
      <w:lvlJc w:val="left"/>
      <w:pPr>
        <w:ind w:left="5400" w:hanging="360"/>
      </w:pPr>
      <w:rPr>
        <w:rFonts w:ascii="Courier New" w:hAnsi="Courier New" w:hint="default"/>
      </w:rPr>
    </w:lvl>
    <w:lvl w:ilvl="8" w:tplc="08028B2C">
      <w:start w:val="1"/>
      <w:numFmt w:val="bullet"/>
      <w:lvlText w:val=""/>
      <w:lvlJc w:val="left"/>
      <w:pPr>
        <w:ind w:left="6120" w:hanging="360"/>
      </w:pPr>
      <w:rPr>
        <w:rFonts w:ascii="Wingdings" w:hAnsi="Wingdings" w:hint="default"/>
      </w:rPr>
    </w:lvl>
  </w:abstractNum>
  <w:abstractNum w:abstractNumId="4" w15:restartNumberingAfterBreak="0">
    <w:nsid w:val="692C7DF8"/>
    <w:multiLevelType w:val="hybridMultilevel"/>
    <w:tmpl w:val="A7F25BBE"/>
    <w:lvl w:ilvl="0" w:tplc="FFFFFFFF">
      <w:start w:val="1"/>
      <w:numFmt w:val="bullet"/>
      <w:lvlText w:val="ü"/>
      <w:lvlJc w:val="left"/>
      <w:pPr>
        <w:ind w:left="360" w:hanging="360"/>
      </w:pPr>
      <w:rPr>
        <w:rFonts w:ascii="Wingdings" w:hAnsi="Wingdings" w:hint="default"/>
      </w:rPr>
    </w:lvl>
    <w:lvl w:ilvl="1" w:tplc="4104B3E8">
      <w:start w:val="1"/>
      <w:numFmt w:val="bullet"/>
      <w:lvlText w:val="o"/>
      <w:lvlJc w:val="left"/>
      <w:pPr>
        <w:ind w:left="1080" w:hanging="360"/>
      </w:pPr>
      <w:rPr>
        <w:rFonts w:ascii="Courier New" w:hAnsi="Courier New" w:hint="default"/>
      </w:rPr>
    </w:lvl>
    <w:lvl w:ilvl="2" w:tplc="69E86238">
      <w:start w:val="1"/>
      <w:numFmt w:val="bullet"/>
      <w:lvlText w:val=""/>
      <w:lvlJc w:val="left"/>
      <w:pPr>
        <w:ind w:left="1800" w:hanging="360"/>
      </w:pPr>
      <w:rPr>
        <w:rFonts w:ascii="Wingdings" w:hAnsi="Wingdings" w:hint="default"/>
      </w:rPr>
    </w:lvl>
    <w:lvl w:ilvl="3" w:tplc="95B60960">
      <w:start w:val="1"/>
      <w:numFmt w:val="bullet"/>
      <w:lvlText w:val=""/>
      <w:lvlJc w:val="left"/>
      <w:pPr>
        <w:ind w:left="2520" w:hanging="360"/>
      </w:pPr>
      <w:rPr>
        <w:rFonts w:ascii="Symbol" w:hAnsi="Symbol" w:hint="default"/>
      </w:rPr>
    </w:lvl>
    <w:lvl w:ilvl="4" w:tplc="0742D568">
      <w:start w:val="1"/>
      <w:numFmt w:val="bullet"/>
      <w:lvlText w:val="o"/>
      <w:lvlJc w:val="left"/>
      <w:pPr>
        <w:ind w:left="3240" w:hanging="360"/>
      </w:pPr>
      <w:rPr>
        <w:rFonts w:ascii="Courier New" w:hAnsi="Courier New" w:hint="default"/>
      </w:rPr>
    </w:lvl>
    <w:lvl w:ilvl="5" w:tplc="8286D5A8">
      <w:start w:val="1"/>
      <w:numFmt w:val="bullet"/>
      <w:lvlText w:val=""/>
      <w:lvlJc w:val="left"/>
      <w:pPr>
        <w:ind w:left="3960" w:hanging="360"/>
      </w:pPr>
      <w:rPr>
        <w:rFonts w:ascii="Wingdings" w:hAnsi="Wingdings" w:hint="default"/>
      </w:rPr>
    </w:lvl>
    <w:lvl w:ilvl="6" w:tplc="0BB211AC">
      <w:start w:val="1"/>
      <w:numFmt w:val="bullet"/>
      <w:lvlText w:val=""/>
      <w:lvlJc w:val="left"/>
      <w:pPr>
        <w:ind w:left="4680" w:hanging="360"/>
      </w:pPr>
      <w:rPr>
        <w:rFonts w:ascii="Symbol" w:hAnsi="Symbol" w:hint="default"/>
      </w:rPr>
    </w:lvl>
    <w:lvl w:ilvl="7" w:tplc="5CDCB92C">
      <w:start w:val="1"/>
      <w:numFmt w:val="bullet"/>
      <w:lvlText w:val="o"/>
      <w:lvlJc w:val="left"/>
      <w:pPr>
        <w:ind w:left="5400" w:hanging="360"/>
      </w:pPr>
      <w:rPr>
        <w:rFonts w:ascii="Courier New" w:hAnsi="Courier New" w:hint="default"/>
      </w:rPr>
    </w:lvl>
    <w:lvl w:ilvl="8" w:tplc="7C484CF0">
      <w:start w:val="1"/>
      <w:numFmt w:val="bullet"/>
      <w:lvlText w:val=""/>
      <w:lvlJc w:val="left"/>
      <w:pPr>
        <w:ind w:left="6120" w:hanging="360"/>
      </w:pPr>
      <w:rPr>
        <w:rFonts w:ascii="Wingdings" w:hAnsi="Wingdings" w:hint="default"/>
      </w:rPr>
    </w:lvl>
  </w:abstractNum>
  <w:num w:numId="1" w16cid:durableId="420029431">
    <w:abstractNumId w:val="2"/>
  </w:num>
  <w:num w:numId="2" w16cid:durableId="1411730850">
    <w:abstractNumId w:val="0"/>
  </w:num>
  <w:num w:numId="3" w16cid:durableId="1563323830">
    <w:abstractNumId w:val="1"/>
  </w:num>
  <w:num w:numId="4" w16cid:durableId="778371588">
    <w:abstractNumId w:val="3"/>
  </w:num>
  <w:num w:numId="5" w16cid:durableId="842627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A9"/>
    <w:rsid w:val="000019A3"/>
    <w:rsid w:val="00003E65"/>
    <w:rsid w:val="00012DBB"/>
    <w:rsid w:val="000316A2"/>
    <w:rsid w:val="0003514F"/>
    <w:rsid w:val="000721E6"/>
    <w:rsid w:val="00083830"/>
    <w:rsid w:val="000B1E6F"/>
    <w:rsid w:val="000B2373"/>
    <w:rsid w:val="00105C15"/>
    <w:rsid w:val="001138D7"/>
    <w:rsid w:val="00134F39"/>
    <w:rsid w:val="00163E21"/>
    <w:rsid w:val="001B5184"/>
    <w:rsid w:val="001C476B"/>
    <w:rsid w:val="001D3A08"/>
    <w:rsid w:val="00217BBF"/>
    <w:rsid w:val="00227E97"/>
    <w:rsid w:val="002C44BE"/>
    <w:rsid w:val="003308EA"/>
    <w:rsid w:val="00392852"/>
    <w:rsid w:val="00393CCC"/>
    <w:rsid w:val="003A7F6C"/>
    <w:rsid w:val="003E032E"/>
    <w:rsid w:val="0040266C"/>
    <w:rsid w:val="0046275B"/>
    <w:rsid w:val="00473A3D"/>
    <w:rsid w:val="004C1CF7"/>
    <w:rsid w:val="004D1B53"/>
    <w:rsid w:val="004F1E06"/>
    <w:rsid w:val="004F512C"/>
    <w:rsid w:val="004F55AD"/>
    <w:rsid w:val="004F7EE8"/>
    <w:rsid w:val="0051020C"/>
    <w:rsid w:val="00532770"/>
    <w:rsid w:val="00543FC8"/>
    <w:rsid w:val="00577673"/>
    <w:rsid w:val="005B1845"/>
    <w:rsid w:val="005C7993"/>
    <w:rsid w:val="005E2178"/>
    <w:rsid w:val="006472D9"/>
    <w:rsid w:val="00697304"/>
    <w:rsid w:val="006C42A9"/>
    <w:rsid w:val="00707429"/>
    <w:rsid w:val="00724DB0"/>
    <w:rsid w:val="007326CC"/>
    <w:rsid w:val="00736824"/>
    <w:rsid w:val="00750387"/>
    <w:rsid w:val="007747AE"/>
    <w:rsid w:val="00784D48"/>
    <w:rsid w:val="007B0433"/>
    <w:rsid w:val="007B79C1"/>
    <w:rsid w:val="007C5233"/>
    <w:rsid w:val="007C620E"/>
    <w:rsid w:val="007D4E04"/>
    <w:rsid w:val="00833F5C"/>
    <w:rsid w:val="008349D1"/>
    <w:rsid w:val="00834B40"/>
    <w:rsid w:val="0084522B"/>
    <w:rsid w:val="00870D83"/>
    <w:rsid w:val="008A3DC3"/>
    <w:rsid w:val="008A5E37"/>
    <w:rsid w:val="008D77EC"/>
    <w:rsid w:val="0095640D"/>
    <w:rsid w:val="00957DB0"/>
    <w:rsid w:val="009B06EF"/>
    <w:rsid w:val="009B7735"/>
    <w:rsid w:val="00A12E6B"/>
    <w:rsid w:val="00A255B1"/>
    <w:rsid w:val="00A307CA"/>
    <w:rsid w:val="00A34045"/>
    <w:rsid w:val="00AF7219"/>
    <w:rsid w:val="00B01D34"/>
    <w:rsid w:val="00B944BA"/>
    <w:rsid w:val="00BA17E8"/>
    <w:rsid w:val="00BE0B5D"/>
    <w:rsid w:val="00BF00EC"/>
    <w:rsid w:val="00BF208E"/>
    <w:rsid w:val="00BF3167"/>
    <w:rsid w:val="00C078F1"/>
    <w:rsid w:val="00C129AB"/>
    <w:rsid w:val="00C25143"/>
    <w:rsid w:val="00C501E3"/>
    <w:rsid w:val="00C8336B"/>
    <w:rsid w:val="00C91E71"/>
    <w:rsid w:val="00CA62DB"/>
    <w:rsid w:val="00CD5205"/>
    <w:rsid w:val="00CD5D3A"/>
    <w:rsid w:val="00DA22EB"/>
    <w:rsid w:val="00DA22F7"/>
    <w:rsid w:val="00DB0E6D"/>
    <w:rsid w:val="00E10134"/>
    <w:rsid w:val="00E11F04"/>
    <w:rsid w:val="00E24F0B"/>
    <w:rsid w:val="00E74F53"/>
    <w:rsid w:val="00E8294C"/>
    <w:rsid w:val="00ED2C8B"/>
    <w:rsid w:val="00ED5162"/>
    <w:rsid w:val="00EF1038"/>
    <w:rsid w:val="00F2185B"/>
    <w:rsid w:val="00F87CC5"/>
    <w:rsid w:val="00F957A2"/>
    <w:rsid w:val="00FA4474"/>
    <w:rsid w:val="0395DCD9"/>
    <w:rsid w:val="1314C9FC"/>
    <w:rsid w:val="131DCE64"/>
    <w:rsid w:val="132BCDB2"/>
    <w:rsid w:val="1BBC5191"/>
    <w:rsid w:val="267C6DD6"/>
    <w:rsid w:val="28638CF1"/>
    <w:rsid w:val="2906CCC5"/>
    <w:rsid w:val="71214308"/>
    <w:rsid w:val="7483E4CA"/>
    <w:rsid w:val="790C494D"/>
    <w:rsid w:val="7F143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BFA7"/>
  <w15:docId w15:val="{1E67942D-8811-47E3-A86A-1DBB6EC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7429"/>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2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E97"/>
    <w:pPr>
      <w:autoSpaceDE w:val="0"/>
      <w:adjustRightInd w:val="0"/>
      <w:spacing w:after="0" w:line="240" w:lineRule="auto"/>
    </w:pPr>
    <w:rPr>
      <w:rFonts w:ascii="Times New Roman" w:hAnsi="Times New Roman"/>
      <w:color w:val="000000"/>
      <w:sz w:val="24"/>
      <w:szCs w:val="24"/>
    </w:rPr>
  </w:style>
  <w:style w:type="character" w:styleId="Collegamentoipertestuale">
    <w:name w:val="Hyperlink"/>
    <w:basedOn w:val="Carpredefinitoparagrafo"/>
    <w:uiPriority w:val="99"/>
    <w:unhideWhenUsed/>
    <w:rsid w:val="007C5233"/>
    <w:rPr>
      <w:color w:val="0563C1" w:themeColor="hyperlink"/>
      <w:u w:val="single"/>
    </w:rPr>
  </w:style>
  <w:style w:type="character" w:styleId="Menzionenonrisolta">
    <w:name w:val="Unresolved Mention"/>
    <w:basedOn w:val="Carpredefinitoparagrafo"/>
    <w:uiPriority w:val="99"/>
    <w:semiHidden/>
    <w:unhideWhenUsed/>
    <w:rsid w:val="007C5233"/>
    <w:rPr>
      <w:color w:val="605E5C"/>
      <w:shd w:val="clear" w:color="auto" w:fill="E1DFDD"/>
    </w:rPr>
  </w:style>
  <w:style w:type="paragraph" w:styleId="Paragrafoelenco">
    <w:name w:val="List Paragraph"/>
    <w:basedOn w:val="Normale"/>
    <w:uiPriority w:val="34"/>
    <w:qFormat/>
    <w:rsid w:val="008349D1"/>
    <w:pPr>
      <w:ind w:left="720"/>
      <w:contextualSpacing/>
    </w:pPr>
  </w:style>
  <w:style w:type="paragraph" w:styleId="Intestazione">
    <w:name w:val="header"/>
    <w:basedOn w:val="Normale"/>
    <w:link w:val="IntestazioneCarattere"/>
    <w:uiPriority w:val="99"/>
    <w:unhideWhenUsed/>
    <w:rsid w:val="00845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522B"/>
  </w:style>
  <w:style w:type="paragraph" w:styleId="Pidipagina">
    <w:name w:val="footer"/>
    <w:basedOn w:val="Normale"/>
    <w:link w:val="PidipaginaCarattere"/>
    <w:uiPriority w:val="99"/>
    <w:unhideWhenUsed/>
    <w:rsid w:val="00845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522B"/>
  </w:style>
  <w:style w:type="paragraph" w:styleId="Testonotaapidipagina">
    <w:name w:val="footnote text"/>
    <w:basedOn w:val="Normale"/>
    <w:link w:val="TestonotaapidipaginaCarattere"/>
    <w:uiPriority w:val="99"/>
    <w:semiHidden/>
    <w:unhideWhenUsed/>
    <w:rsid w:val="00A307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307CA"/>
    <w:rPr>
      <w:sz w:val="20"/>
      <w:szCs w:val="20"/>
    </w:rPr>
  </w:style>
  <w:style w:type="character" w:styleId="Rimandonotaapidipagina">
    <w:name w:val="footnote reference"/>
    <w:basedOn w:val="Carpredefinitoparagrafo"/>
    <w:unhideWhenUsed/>
    <w:rsid w:val="00A307CA"/>
    <w:rPr>
      <w:vertAlign w:val="superscript"/>
    </w:rPr>
  </w:style>
  <w:style w:type="paragraph" w:customStyle="1" w:styleId="paragraph">
    <w:name w:val="paragraph"/>
    <w:basedOn w:val="Normale"/>
    <w:rsid w:val="00A307CA"/>
    <w:pPr>
      <w:suppressAutoHyphens w:val="0"/>
      <w:autoSpaceDN/>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A307CA"/>
  </w:style>
  <w:style w:type="character" w:customStyle="1" w:styleId="eop">
    <w:name w:val="eop"/>
    <w:basedOn w:val="Carpredefinitoparagrafo"/>
    <w:rsid w:val="00A3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faiola@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lazio.it/enti/Piano-Territoriale-Assistenza-Tecn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68C5-FE2E-49C2-B7AF-E39418E6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10101</Characters>
  <Application>Microsoft Office Word</Application>
  <DocSecurity>0</DocSecurity>
  <Lines>84</Lines>
  <Paragraphs>23</Paragraphs>
  <ScaleCrop>false</ScaleCrop>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Latora</dc:creator>
  <dc:description/>
  <cp:lastModifiedBy>Matilde Vecchione</cp:lastModifiedBy>
  <cp:revision>7</cp:revision>
  <dcterms:created xsi:type="dcterms:W3CDTF">2025-02-20T09:42:00Z</dcterms:created>
  <dcterms:modified xsi:type="dcterms:W3CDTF">2025-02-21T10:56:00Z</dcterms:modified>
</cp:coreProperties>
</file>